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00" w:lineRule="auto"/>
        <w:jc w:val="left"/>
        <w:outlineLvl w:val="0"/>
        <w:rPr>
          <w:rFonts w:hint="eastAsia" w:ascii="仿宋_GB2312" w:hAnsi="仿宋_GB2312" w:eastAsia="仿宋_GB2312" w:cs="仿宋_GB2312"/>
          <w:b w:val="0"/>
          <w:bCs/>
          <w:color w:val="auto"/>
          <w:sz w:val="32"/>
          <w:szCs w:val="32"/>
          <w:lang w:eastAsia="zh-CN"/>
        </w:rPr>
      </w:pPr>
      <w:bookmarkStart w:id="0" w:name="_Toc18769"/>
      <w:r>
        <w:rPr>
          <w:rFonts w:hint="eastAsia" w:ascii="仿宋_GB2312" w:hAnsi="仿宋_GB2312" w:eastAsia="仿宋_GB2312" w:cs="仿宋_GB2312"/>
          <w:b w:val="0"/>
          <w:bCs/>
          <w:color w:val="auto"/>
          <w:sz w:val="32"/>
          <w:szCs w:val="32"/>
          <w:lang w:eastAsia="zh-CN"/>
        </w:rPr>
        <w:t>附件</w:t>
      </w:r>
      <w:r>
        <w:rPr>
          <w:rFonts w:hint="eastAsia" w:ascii="仿宋_GB2312" w:hAnsi="仿宋_GB2312" w:eastAsia="仿宋_GB2312" w:cs="仿宋_GB2312"/>
          <w:b w:val="0"/>
          <w:bCs/>
          <w:color w:val="auto"/>
          <w:sz w:val="32"/>
          <w:szCs w:val="32"/>
          <w:lang w:val="en-US" w:eastAsia="zh-CN"/>
        </w:rPr>
        <w:t>1</w:t>
      </w:r>
    </w:p>
    <w:p>
      <w:pPr>
        <w:spacing w:line="300" w:lineRule="auto"/>
        <w:jc w:val="center"/>
        <w:outlineLvl w:val="0"/>
        <w:rPr>
          <w:rFonts w:ascii="宋体" w:hAnsi="宋体"/>
          <w:b/>
          <w:color w:val="auto"/>
          <w:sz w:val="36"/>
          <w:szCs w:val="36"/>
        </w:rPr>
      </w:pPr>
      <w:r>
        <w:rPr>
          <w:rFonts w:hint="eastAsia" w:ascii="宋体" w:hAnsi="宋体"/>
          <w:b/>
          <w:color w:val="auto"/>
          <w:sz w:val="36"/>
          <w:szCs w:val="36"/>
        </w:rPr>
        <w:t>阳光学院关于</w:t>
      </w:r>
      <w:bookmarkEnd w:id="0"/>
      <w:r>
        <w:rPr>
          <w:rFonts w:hint="eastAsia" w:ascii="宋体" w:hAnsi="宋体"/>
          <w:b/>
          <w:color w:val="auto"/>
          <w:sz w:val="36"/>
          <w:szCs w:val="36"/>
          <w:lang w:eastAsia="zh-CN"/>
        </w:rPr>
        <w:t>制订</w:t>
      </w:r>
      <w:bookmarkStart w:id="1" w:name="_Toc24323"/>
      <w:r>
        <w:rPr>
          <w:rFonts w:hint="eastAsia" w:ascii="宋体" w:hAnsi="宋体"/>
          <w:b/>
          <w:color w:val="auto"/>
          <w:sz w:val="36"/>
          <w:szCs w:val="36"/>
        </w:rPr>
        <w:t>2017</w:t>
      </w:r>
      <w:r>
        <w:rPr>
          <w:rFonts w:hint="eastAsia" w:ascii="宋体" w:hAnsi="宋体"/>
          <w:b/>
          <w:color w:val="auto"/>
          <w:sz w:val="36"/>
          <w:szCs w:val="36"/>
          <w:lang w:eastAsia="zh-CN"/>
        </w:rPr>
        <w:t>版</w:t>
      </w:r>
      <w:r>
        <w:rPr>
          <w:rFonts w:hint="eastAsia" w:ascii="宋体" w:hAnsi="宋体"/>
          <w:b/>
          <w:color w:val="auto"/>
          <w:sz w:val="36"/>
          <w:szCs w:val="36"/>
        </w:rPr>
        <w:t>本科</w:t>
      </w:r>
      <w:r>
        <w:rPr>
          <w:rFonts w:hint="eastAsia" w:ascii="宋体" w:hAnsi="宋体"/>
          <w:b/>
          <w:color w:val="auto"/>
          <w:sz w:val="36"/>
          <w:szCs w:val="36"/>
          <w:lang w:eastAsia="zh-CN"/>
        </w:rPr>
        <w:t>人才</w:t>
      </w:r>
      <w:r>
        <w:rPr>
          <w:rFonts w:hint="eastAsia" w:ascii="宋体" w:hAnsi="宋体"/>
          <w:b/>
          <w:color w:val="auto"/>
          <w:sz w:val="36"/>
          <w:szCs w:val="36"/>
        </w:rPr>
        <w:t>培养方案的指导性意见</w:t>
      </w:r>
      <w:bookmarkEnd w:id="1"/>
    </w:p>
    <w:p>
      <w:pPr>
        <w:widowControl/>
        <w:spacing w:line="300" w:lineRule="auto"/>
        <w:jc w:val="center"/>
        <w:rPr>
          <w:rFonts w:hint="eastAsia" w:ascii="楷体_GB2312" w:eastAsia="楷体_GB2312"/>
          <w:color w:val="auto"/>
          <w:sz w:val="28"/>
          <w:szCs w:val="28"/>
          <w:lang w:val="en-US" w:eastAsia="zh-CN"/>
        </w:rPr>
      </w:pPr>
    </w:p>
    <w:p>
      <w:pPr>
        <w:widowControl/>
        <w:spacing w:line="300" w:lineRule="auto"/>
        <w:ind w:firstLine="480" w:firstLineChars="200"/>
        <w:rPr>
          <w:rFonts w:ascii="楷体_GB2312" w:hAnsi="宋体" w:eastAsia="楷体_GB2312" w:cs="Arial"/>
          <w:color w:val="auto"/>
          <w:kern w:val="0"/>
          <w:sz w:val="24"/>
        </w:rPr>
      </w:pPr>
      <w:r>
        <w:rPr>
          <w:rFonts w:hint="eastAsia" w:ascii="楷体_GB2312" w:hAnsi="宋体" w:eastAsia="楷体_GB2312"/>
          <w:color w:val="auto"/>
          <w:sz w:val="24"/>
        </w:rPr>
        <w:t>为了更好地适应社会经济迅速发展对人才培养的新要求，进一步深化本科人才培养模式改革，整体优化人才培养方案，全面提高人才培养质量，切实增强学生创新精神和实践能力，围绕创新驱动发展、大众创新万众创业、“一带一路”、中国（福建）自由贸易试验区等国家和省重大战略需求，</w:t>
      </w:r>
      <w:r>
        <w:rPr>
          <w:rFonts w:hint="eastAsia" w:ascii="楷体_GB2312" w:hAnsi="宋体" w:eastAsia="楷体_GB2312"/>
          <w:color w:val="auto"/>
          <w:spacing w:val="4"/>
          <w:sz w:val="24"/>
        </w:rPr>
        <w:t>根据学院推动转型发展工作部署，学院拟实施新一</w:t>
      </w:r>
      <w:r>
        <w:rPr>
          <w:rFonts w:hint="eastAsia" w:ascii="楷体_GB2312" w:hAnsi="宋体" w:eastAsia="楷体_GB2312"/>
          <w:color w:val="auto"/>
          <w:sz w:val="24"/>
        </w:rPr>
        <w:t>轮本科人才培养方案的修订工作。现对</w:t>
      </w:r>
      <w:r>
        <w:rPr>
          <w:rFonts w:hint="eastAsia" w:ascii="楷体_GB2312" w:hAnsi="宋体" w:eastAsia="楷体_GB2312"/>
          <w:color w:val="auto"/>
          <w:sz w:val="24"/>
          <w:lang w:eastAsia="zh-CN"/>
        </w:rPr>
        <w:t>制订</w:t>
      </w:r>
      <w:r>
        <w:rPr>
          <w:rFonts w:hint="eastAsia" w:ascii="楷体_GB2312" w:eastAsia="楷体_GB2312"/>
          <w:color w:val="auto"/>
          <w:sz w:val="24"/>
        </w:rPr>
        <w:t>2017</w:t>
      </w:r>
      <w:r>
        <w:rPr>
          <w:rFonts w:hint="eastAsia" w:ascii="楷体_GB2312" w:hAnsi="宋体" w:eastAsia="楷体_GB2312"/>
          <w:color w:val="auto"/>
          <w:sz w:val="24"/>
          <w:lang w:eastAsia="zh-CN"/>
        </w:rPr>
        <w:t>版</w:t>
      </w:r>
      <w:r>
        <w:rPr>
          <w:rFonts w:hint="eastAsia" w:ascii="楷体_GB2312" w:hAnsi="宋体" w:eastAsia="楷体_GB2312"/>
          <w:color w:val="auto"/>
          <w:sz w:val="24"/>
        </w:rPr>
        <w:t>本科</w:t>
      </w:r>
      <w:r>
        <w:rPr>
          <w:rFonts w:hint="eastAsia" w:ascii="楷体_GB2312" w:hAnsi="宋体" w:eastAsia="楷体_GB2312"/>
          <w:color w:val="auto"/>
          <w:sz w:val="24"/>
          <w:lang w:eastAsia="zh-CN"/>
        </w:rPr>
        <w:t>人才</w:t>
      </w:r>
      <w:r>
        <w:rPr>
          <w:rFonts w:hint="eastAsia" w:ascii="楷体_GB2312" w:hAnsi="宋体" w:eastAsia="楷体_GB2312"/>
          <w:color w:val="auto"/>
          <w:sz w:val="24"/>
        </w:rPr>
        <w:t>培养方案提出如下指导性意见。</w:t>
      </w:r>
    </w:p>
    <w:p>
      <w:pPr>
        <w:spacing w:line="300" w:lineRule="auto"/>
        <w:ind w:firstLine="441" w:firstLineChars="147"/>
        <w:rPr>
          <w:rFonts w:ascii="楷体_GB2312" w:eastAsia="楷体_GB2312"/>
          <w:b/>
          <w:color w:val="auto"/>
          <w:sz w:val="30"/>
          <w:szCs w:val="30"/>
        </w:rPr>
      </w:pPr>
      <w:r>
        <w:rPr>
          <w:rFonts w:hint="eastAsia" w:ascii="楷体_GB2312" w:eastAsia="楷体_GB2312"/>
          <w:b/>
          <w:color w:val="auto"/>
          <w:sz w:val="30"/>
          <w:szCs w:val="30"/>
        </w:rPr>
        <w:t>一、指导思想</w:t>
      </w:r>
    </w:p>
    <w:p>
      <w:pPr>
        <w:spacing w:line="300" w:lineRule="auto"/>
        <w:ind w:firstLine="480" w:firstLineChars="200"/>
        <w:rPr>
          <w:rFonts w:ascii="楷体_GB2312" w:eastAsia="楷体_GB2312"/>
          <w:b/>
          <w:color w:val="auto"/>
          <w:sz w:val="24"/>
        </w:rPr>
      </w:pPr>
      <w:r>
        <w:rPr>
          <w:rFonts w:hint="eastAsia" w:ascii="楷体_GB2312" w:eastAsia="楷体_GB2312"/>
          <w:bCs/>
          <w:color w:val="auto"/>
          <w:sz w:val="24"/>
        </w:rPr>
        <w:t>坚持党的教育方针，遵循高等教育发展规律，贯彻落实《关于引导部分地方普通本科高校向应用型转变的指导意见》（教发〔2015〕7号）以及《关于深化高等学校创新创业教育改革的实施意见》（国办发〔2015〕36号）的文件精神，</w:t>
      </w:r>
      <w:r>
        <w:rPr>
          <w:rFonts w:hint="eastAsia" w:ascii="楷体_GB2312" w:hAnsi="宋体" w:eastAsia="楷体_GB2312"/>
          <w:bCs/>
          <w:color w:val="auto"/>
          <w:sz w:val="24"/>
        </w:rPr>
        <w:t>坚持“育人为本，质量立校，特色发展，服务地方”的办学方针，深化“应用型”人才培养模式改革，构建并实施“产教融合、协同育人” 人才培养创新模式，</w:t>
      </w:r>
      <w:r>
        <w:rPr>
          <w:rFonts w:hint="eastAsia" w:ascii="楷体_GB2312" w:eastAsia="楷体_GB2312"/>
          <w:bCs/>
          <w:color w:val="auto"/>
          <w:sz w:val="24"/>
        </w:rPr>
        <w:t>扎实推进创新创业教育，</w:t>
      </w:r>
      <w:r>
        <w:rPr>
          <w:rFonts w:hint="eastAsia" w:ascii="楷体_GB2312" w:hAnsi="宋体" w:eastAsia="楷体_GB2312"/>
          <w:bCs/>
          <w:color w:val="auto"/>
          <w:sz w:val="24"/>
        </w:rPr>
        <w:t>培养学生自主学习能力、创新精神与实践能力</w:t>
      </w:r>
      <w:r>
        <w:rPr>
          <w:rFonts w:hint="eastAsia" w:ascii="楷体_GB2312" w:hAnsi="宋体" w:eastAsia="楷体_GB2312"/>
          <w:bCs/>
          <w:color w:val="auto"/>
          <w:sz w:val="24"/>
          <w:lang w:eastAsia="zh-CN"/>
        </w:rPr>
        <w:t>。</w:t>
      </w:r>
      <w:r>
        <w:rPr>
          <w:rFonts w:hint="eastAsia" w:ascii="楷体_GB2312" w:hAnsi="宋体" w:eastAsia="楷体_GB2312"/>
          <w:bCs/>
          <w:color w:val="auto"/>
          <w:sz w:val="24"/>
          <w:lang w:val="en-US" w:eastAsia="zh-CN"/>
        </w:rPr>
        <w:t>结合</w:t>
      </w:r>
      <w:r>
        <w:rPr>
          <w:rFonts w:hint="eastAsia" w:ascii="楷体_GB2312" w:eastAsia="楷体_GB2312"/>
          <w:bCs/>
          <w:color w:val="auto"/>
          <w:sz w:val="24"/>
        </w:rPr>
        <w:t>《关于实施中华优秀传统文化传承发展工程的意见》、《完善中华优秀传统文化教育指导纲要》（教社科〔2014〕3号）</w:t>
      </w:r>
      <w:r>
        <w:rPr>
          <w:rFonts w:hint="eastAsia" w:ascii="楷体_GB2312" w:eastAsia="楷体_GB2312"/>
          <w:bCs/>
          <w:color w:val="auto"/>
          <w:sz w:val="24"/>
          <w:lang w:val="en-US" w:eastAsia="zh-CN"/>
        </w:rPr>
        <w:t>文件要求</w:t>
      </w:r>
      <w:r>
        <w:rPr>
          <w:rFonts w:hint="eastAsia" w:ascii="楷体_GB2312" w:eastAsia="楷体_GB2312"/>
          <w:bCs/>
          <w:color w:val="auto"/>
          <w:sz w:val="24"/>
          <w:lang w:eastAsia="zh-CN"/>
        </w:rPr>
        <w:t>，</w:t>
      </w:r>
      <w:r>
        <w:rPr>
          <w:rFonts w:hint="eastAsia" w:ascii="楷体_GB2312" w:hAnsi="宋体" w:eastAsia="楷体_GB2312"/>
          <w:bCs/>
          <w:color w:val="auto"/>
          <w:sz w:val="24"/>
        </w:rPr>
        <w:t>加强中华优秀传统文化教育，</w:t>
      </w:r>
      <w:r>
        <w:rPr>
          <w:rFonts w:hint="eastAsia" w:ascii="楷体_GB2312" w:eastAsia="楷体_GB2312"/>
          <w:bCs/>
          <w:color w:val="auto"/>
          <w:sz w:val="24"/>
        </w:rPr>
        <w:t>增强学生传承弘扬中华优秀传统文化的责任感和使命感</w:t>
      </w:r>
      <w:r>
        <w:rPr>
          <w:rFonts w:hint="eastAsia" w:ascii="楷体_GB2312" w:eastAsia="楷体_GB2312"/>
          <w:bCs/>
          <w:color w:val="auto"/>
          <w:sz w:val="24"/>
          <w:lang w:eastAsia="zh-CN"/>
        </w:rPr>
        <w:t>。</w:t>
      </w:r>
    </w:p>
    <w:p>
      <w:pPr>
        <w:spacing w:line="300" w:lineRule="auto"/>
        <w:ind w:firstLine="602"/>
        <w:rPr>
          <w:rFonts w:hint="eastAsia" w:ascii="楷体_GB2312" w:hAnsi="宋体" w:eastAsia="楷体_GB2312"/>
          <w:bCs/>
          <w:color w:val="auto"/>
          <w:sz w:val="24"/>
        </w:rPr>
      </w:pPr>
      <w:r>
        <w:rPr>
          <w:rFonts w:hint="eastAsia" w:ascii="楷体_GB2312" w:eastAsia="楷体_GB2312"/>
          <w:b/>
          <w:color w:val="auto"/>
          <w:sz w:val="30"/>
          <w:szCs w:val="30"/>
        </w:rPr>
        <w:t>二、基本思路</w:t>
      </w:r>
      <w:r>
        <w:rPr>
          <w:rFonts w:hint="eastAsia" w:ascii="楷体_GB2312" w:hAnsi="宋体" w:eastAsia="楷体_GB2312"/>
          <w:bCs/>
          <w:color w:val="auto"/>
          <w:sz w:val="24"/>
        </w:rPr>
        <w:t xml:space="preserve">    </w:t>
      </w:r>
    </w:p>
    <w:p>
      <w:pPr>
        <w:spacing w:line="300" w:lineRule="auto"/>
        <w:ind w:firstLine="602"/>
        <w:rPr>
          <w:rFonts w:ascii="楷体_GB2312" w:hAnsi="宋体" w:eastAsia="楷体_GB2312"/>
          <w:bCs/>
          <w:color w:val="auto"/>
          <w:sz w:val="24"/>
        </w:rPr>
      </w:pPr>
      <w:r>
        <w:rPr>
          <w:rFonts w:hint="eastAsia" w:ascii="楷体_GB2312" w:hAnsi="宋体" w:eastAsia="楷体_GB2312"/>
          <w:bCs/>
          <w:color w:val="auto"/>
          <w:sz w:val="24"/>
        </w:rPr>
        <w:t>基于2016</w:t>
      </w:r>
      <w:r>
        <w:rPr>
          <w:rFonts w:hint="eastAsia" w:ascii="楷体_GB2312" w:hAnsi="宋体" w:eastAsia="楷体_GB2312"/>
          <w:bCs/>
          <w:color w:val="auto"/>
          <w:sz w:val="24"/>
          <w:lang w:eastAsia="zh-CN"/>
        </w:rPr>
        <w:t>版</w:t>
      </w:r>
      <w:r>
        <w:rPr>
          <w:rFonts w:hint="eastAsia" w:ascii="楷体_GB2312" w:hAnsi="宋体" w:eastAsia="楷体_GB2312"/>
          <w:bCs/>
          <w:color w:val="auto"/>
          <w:sz w:val="24"/>
        </w:rPr>
        <w:t>全面修订的应用型人才培养方案的基本思路不变，2017</w:t>
      </w:r>
      <w:r>
        <w:rPr>
          <w:rFonts w:hint="eastAsia" w:ascii="楷体_GB2312" w:hAnsi="宋体" w:eastAsia="楷体_GB2312"/>
          <w:bCs/>
          <w:color w:val="auto"/>
          <w:sz w:val="24"/>
          <w:lang w:eastAsia="zh-CN"/>
        </w:rPr>
        <w:t>版</w:t>
      </w:r>
      <w:r>
        <w:rPr>
          <w:rFonts w:hint="eastAsia" w:ascii="楷体_GB2312" w:hAnsi="宋体" w:eastAsia="楷体_GB2312"/>
          <w:bCs/>
          <w:color w:val="auto"/>
          <w:sz w:val="24"/>
        </w:rPr>
        <w:t>专业培养方案以调整与完善为主，进一步加强应用型转型发展所需课程体系调整，继续深化</w:t>
      </w:r>
      <w:r>
        <w:rPr>
          <w:rFonts w:ascii="楷体_GB2312" w:hAnsi="宋体" w:eastAsia="楷体_GB2312"/>
          <w:bCs/>
          <w:color w:val="auto"/>
          <w:sz w:val="24"/>
        </w:rPr>
        <w:t>高等教育</w:t>
      </w:r>
      <w:r>
        <w:rPr>
          <w:rFonts w:hint="eastAsia" w:ascii="楷体_GB2312" w:hAnsi="宋体" w:eastAsia="楷体_GB2312"/>
          <w:bCs/>
          <w:color w:val="auto"/>
          <w:sz w:val="24"/>
        </w:rPr>
        <w:t>人才</w:t>
      </w:r>
      <w:r>
        <w:rPr>
          <w:rFonts w:ascii="楷体_GB2312" w:hAnsi="宋体" w:eastAsia="楷体_GB2312"/>
          <w:bCs/>
          <w:color w:val="auto"/>
          <w:sz w:val="24"/>
        </w:rPr>
        <w:t>供给侧结构性改革</w:t>
      </w:r>
      <w:r>
        <w:rPr>
          <w:rFonts w:hint="eastAsia" w:ascii="楷体_GB2312" w:hAnsi="宋体" w:eastAsia="楷体_GB2312"/>
          <w:bCs/>
          <w:color w:val="auto"/>
          <w:sz w:val="24"/>
        </w:rPr>
        <w:t>，更精准地适应</w:t>
      </w:r>
      <w:r>
        <w:rPr>
          <w:rFonts w:ascii="楷体_GB2312" w:hAnsi="宋体" w:eastAsia="楷体_GB2312"/>
          <w:bCs/>
          <w:color w:val="auto"/>
          <w:sz w:val="24"/>
        </w:rPr>
        <w:t>社会主义市场经济体制和现代</w:t>
      </w:r>
      <w:r>
        <w:rPr>
          <w:rFonts w:hint="eastAsia" w:ascii="楷体_GB2312" w:hAnsi="宋体" w:eastAsia="楷体_GB2312"/>
          <w:bCs/>
          <w:color w:val="auto"/>
          <w:sz w:val="24"/>
        </w:rPr>
        <w:t>产业需求的</w:t>
      </w:r>
      <w:r>
        <w:rPr>
          <w:rFonts w:ascii="楷体_GB2312" w:hAnsi="宋体" w:eastAsia="楷体_GB2312"/>
          <w:bCs/>
          <w:color w:val="auto"/>
          <w:sz w:val="24"/>
        </w:rPr>
        <w:t>高等教育体系。</w:t>
      </w:r>
    </w:p>
    <w:p>
      <w:pPr>
        <w:spacing w:line="300" w:lineRule="auto"/>
        <w:ind w:firstLine="602"/>
        <w:rPr>
          <w:rFonts w:ascii="楷体_GB2312" w:hAnsi="宋体" w:eastAsia="楷体_GB2312"/>
          <w:bCs/>
          <w:color w:val="auto"/>
          <w:sz w:val="24"/>
        </w:rPr>
      </w:pPr>
      <w:r>
        <w:rPr>
          <w:rFonts w:hint="eastAsia" w:ascii="楷体_GB2312" w:hAnsi="宋体" w:eastAsia="楷体_GB2312"/>
          <w:bCs/>
          <w:color w:val="auto"/>
          <w:sz w:val="24"/>
        </w:rPr>
        <w:t>应用型人才培养专业群培养方案应主动对接产业链需求，深化产教融合、协同育人，具体要求见《福建省教育厅、福建省发展和改革委员会</w:t>
      </w:r>
      <w:r>
        <w:rPr>
          <w:rFonts w:hint="eastAsia" w:ascii="楷体_GB2312" w:hAnsi="宋体" w:eastAsia="楷体_GB2312"/>
          <w:bCs/>
          <w:color w:val="auto"/>
          <w:sz w:val="24"/>
          <w:lang w:eastAsia="zh-CN"/>
        </w:rPr>
        <w:t>、</w:t>
      </w:r>
      <w:r>
        <w:rPr>
          <w:rFonts w:hint="eastAsia" w:ascii="楷体_GB2312" w:hAnsi="宋体" w:eastAsia="楷体_GB2312"/>
          <w:bCs/>
          <w:color w:val="auto"/>
          <w:sz w:val="24"/>
        </w:rPr>
        <w:t>福建省财政厅关于开展普通本科高校向应用型转变试点工作的通知》（闽教高〔2015〕39号文件）</w:t>
      </w:r>
      <w:r>
        <w:rPr>
          <w:rFonts w:hint="eastAsia" w:ascii="楷体_GB2312" w:hAnsi="宋体" w:eastAsia="楷体_GB2312"/>
          <w:bCs/>
          <w:color w:val="auto"/>
          <w:sz w:val="24"/>
          <w:lang w:eastAsia="zh-CN"/>
        </w:rPr>
        <w:t>。</w:t>
      </w:r>
    </w:p>
    <w:p>
      <w:pPr>
        <w:spacing w:line="300" w:lineRule="auto"/>
        <w:ind w:firstLine="562"/>
        <w:rPr>
          <w:rFonts w:ascii="楷体_GB2312" w:hAnsi="宋体" w:eastAsia="楷体_GB2312"/>
          <w:b/>
          <w:color w:val="auto"/>
          <w:sz w:val="28"/>
          <w:szCs w:val="28"/>
        </w:rPr>
      </w:pPr>
      <w:r>
        <w:rPr>
          <w:rFonts w:hint="eastAsia" w:ascii="楷体_GB2312" w:hAnsi="宋体" w:eastAsia="楷体_GB2312"/>
          <w:b/>
          <w:color w:val="auto"/>
          <w:sz w:val="28"/>
          <w:szCs w:val="28"/>
        </w:rPr>
        <w:t>（一）以国家或行业标准为基础，修订专业人才培养方案</w:t>
      </w:r>
    </w:p>
    <w:p>
      <w:pPr>
        <w:spacing w:line="300" w:lineRule="auto"/>
        <w:ind w:firstLine="562"/>
        <w:rPr>
          <w:rFonts w:ascii="楷体_GB2312" w:hAnsi="宋体" w:eastAsia="楷体_GB2312"/>
          <w:bCs/>
          <w:color w:val="auto"/>
          <w:sz w:val="24"/>
        </w:rPr>
      </w:pPr>
      <w:r>
        <w:rPr>
          <w:rFonts w:hint="eastAsia" w:ascii="楷体_GB2312" w:hAnsi="宋体" w:eastAsia="楷体_GB2312"/>
          <w:bCs/>
          <w:color w:val="auto"/>
          <w:sz w:val="24"/>
        </w:rPr>
        <w:t>根据教育部公布的本科专业类教学质量国家标准或行业职业资格认证标准，以及国家和省战略需求，结合专业发展特色，深入调研，邀请行业专家、企业家、教育教学专家对培养方案进行论证并修订，进一步明确每个专业培养的学生应具备的总体素质和综合能力，满足向应用型转变的发展需要，符合复合性、创新性的应用型人才培养目标。</w:t>
      </w:r>
    </w:p>
    <w:p>
      <w:pPr>
        <w:spacing w:line="300" w:lineRule="auto"/>
        <w:ind w:firstLine="562"/>
        <w:rPr>
          <w:rFonts w:ascii="楷体_GB2312" w:hAnsi="宋体" w:eastAsia="楷体_GB2312"/>
          <w:bCs/>
          <w:color w:val="auto"/>
          <w:sz w:val="24"/>
        </w:rPr>
      </w:pPr>
      <w:r>
        <w:rPr>
          <w:rFonts w:hint="eastAsia" w:ascii="楷体_GB2312" w:hAnsi="宋体" w:eastAsia="楷体_GB2312"/>
          <w:bCs/>
          <w:color w:val="auto"/>
          <w:sz w:val="24"/>
        </w:rPr>
        <w:t>要广泛吸纳行业专家以及专业教师参与人才培养方案论证与修订。各专业须成立专业建设指导委员会，原则上专业建设指导委员会委员不少于7人，其中校外委员不少于2人，行业企业和用人单位委员不少于2人。</w:t>
      </w:r>
    </w:p>
    <w:p>
      <w:pPr>
        <w:numPr>
          <w:ilvl w:val="0"/>
          <w:numId w:val="1"/>
        </w:numPr>
        <w:spacing w:line="300" w:lineRule="auto"/>
        <w:ind w:firstLine="560" w:firstLineChars="200"/>
        <w:rPr>
          <w:rFonts w:ascii="楷体_GB2312" w:hAnsi="宋体" w:eastAsia="楷体_GB2312"/>
          <w:b/>
          <w:color w:val="auto"/>
          <w:sz w:val="28"/>
          <w:szCs w:val="28"/>
        </w:rPr>
      </w:pPr>
      <w:r>
        <w:rPr>
          <w:rFonts w:hint="eastAsia" w:ascii="楷体_GB2312" w:hAnsi="宋体" w:eastAsia="楷体_GB2312"/>
          <w:b/>
          <w:color w:val="auto"/>
          <w:sz w:val="28"/>
          <w:szCs w:val="28"/>
        </w:rPr>
        <w:t>以课程体系为主线，科学合理设置模块课程</w:t>
      </w:r>
    </w:p>
    <w:p>
      <w:pPr>
        <w:spacing w:line="300" w:lineRule="auto"/>
        <w:ind w:firstLine="562"/>
        <w:rPr>
          <w:rFonts w:ascii="楷体_GB2312" w:hAnsi="宋体" w:eastAsia="楷体_GB2312"/>
          <w:bCs/>
          <w:color w:val="auto"/>
          <w:sz w:val="28"/>
          <w:szCs w:val="28"/>
        </w:rPr>
      </w:pPr>
      <w:r>
        <w:rPr>
          <w:rFonts w:hint="eastAsia" w:ascii="楷体_GB2312" w:hAnsi="宋体" w:eastAsia="楷体_GB2312"/>
          <w:bCs/>
          <w:color w:val="auto"/>
          <w:sz w:val="24"/>
        </w:rPr>
        <w:t>根据人才培养目标及“三大平台”+“九大模块”的课程体系，重点论证各模块课程设置的合理性，确定每门课程或每个培养环节的目标与作用，注意内在的知识衔接，保证知识的系统性。基本素质平台设置的课程应侧重培养学生的学习能力、责任感、创新思维等基本素养，专业知识平台设置的课程应侧重培养学生的专业基础与专业素养；应用能力平台设置的课程应侧重培养动手能力、实践能力。</w:t>
      </w:r>
    </w:p>
    <w:p>
      <w:pPr>
        <w:numPr>
          <w:ilvl w:val="0"/>
          <w:numId w:val="1"/>
        </w:numPr>
        <w:spacing w:line="300" w:lineRule="auto"/>
        <w:ind w:firstLine="560" w:firstLineChars="200"/>
        <w:rPr>
          <w:rFonts w:ascii="楷体_GB2312" w:hAnsi="宋体" w:eastAsia="楷体_GB2312"/>
          <w:b/>
          <w:color w:val="auto"/>
          <w:sz w:val="28"/>
          <w:szCs w:val="28"/>
        </w:rPr>
      </w:pPr>
      <w:r>
        <w:rPr>
          <w:rFonts w:hint="eastAsia" w:ascii="楷体_GB2312" w:hAnsi="宋体" w:eastAsia="楷体_GB2312"/>
          <w:b/>
          <w:color w:val="auto"/>
          <w:sz w:val="28"/>
          <w:szCs w:val="28"/>
        </w:rPr>
        <w:t>改革教学方法与考核模式</w:t>
      </w:r>
    </w:p>
    <w:p>
      <w:pPr>
        <w:spacing w:line="300" w:lineRule="auto"/>
        <w:ind w:firstLine="562"/>
        <w:rPr>
          <w:rFonts w:ascii="楷体_GB2312" w:hAnsi="宋体" w:eastAsia="楷体_GB2312"/>
          <w:bCs/>
          <w:color w:val="auto"/>
          <w:sz w:val="24"/>
        </w:rPr>
      </w:pPr>
      <w:r>
        <w:rPr>
          <w:rFonts w:hint="eastAsia" w:ascii="楷体_GB2312" w:hAnsi="宋体" w:eastAsia="楷体_GB2312"/>
          <w:bCs/>
          <w:color w:val="auto"/>
          <w:sz w:val="24"/>
        </w:rPr>
        <w:t>大力推进教学方法改革，提倡启发式、探究式、讨论式、项目式等教学方法和合作学习方式，推动教师把国际前沿学术发展、最新研究成果和实践经验融入课堂教学，激发学生的学习兴趣，着力培养学生的学习能力、实践能力和创新能力。运用大数据技术，掌握不同学生学习需求和规律，为学生自主学习提供更加丰富多样的教育资源。改革考核内容和方式，由单一考核方式向多元考核方式转变，由注重结果考核向注重过程考核转变，注重考查学生运用知识分析、解决问题的能力，探索非标准答案的考试方式。</w:t>
      </w:r>
    </w:p>
    <w:p>
      <w:pPr>
        <w:numPr>
          <w:ilvl w:val="0"/>
          <w:numId w:val="1"/>
        </w:numPr>
        <w:spacing w:line="300" w:lineRule="auto"/>
        <w:ind w:firstLine="560" w:firstLineChars="200"/>
        <w:rPr>
          <w:rFonts w:ascii="楷体_GB2312" w:hAnsi="宋体" w:eastAsia="楷体_GB2312"/>
          <w:b/>
          <w:color w:val="auto"/>
          <w:sz w:val="28"/>
          <w:szCs w:val="28"/>
        </w:rPr>
      </w:pPr>
      <w:r>
        <w:rPr>
          <w:rFonts w:hint="eastAsia" w:ascii="楷体_GB2312" w:hAnsi="宋体" w:eastAsia="楷体_GB2312"/>
          <w:b/>
          <w:color w:val="auto"/>
          <w:sz w:val="28"/>
          <w:szCs w:val="28"/>
        </w:rPr>
        <w:t>推进产教融合，强化实践教学</w:t>
      </w:r>
    </w:p>
    <w:p>
      <w:pPr>
        <w:spacing w:line="300" w:lineRule="auto"/>
        <w:ind w:firstLine="541"/>
        <w:rPr>
          <w:rFonts w:ascii="楷体_GB2312" w:hAnsi="宋体" w:eastAsia="楷体_GB2312"/>
          <w:bCs/>
          <w:color w:val="auto"/>
          <w:sz w:val="24"/>
        </w:rPr>
      </w:pPr>
      <w:r>
        <w:rPr>
          <w:rFonts w:hint="eastAsia" w:ascii="楷体_GB2312" w:hAnsi="宋体" w:eastAsia="楷体_GB2312"/>
          <w:bCs/>
          <w:color w:val="auto"/>
          <w:sz w:val="24"/>
        </w:rPr>
        <w:t>推进产教深度融合，建立校企合作的协同育人新机制，实现人才培养与产业发展需求对接。每个专业至少与1个单位/行业/企业共建长期稳定的合作关系，遵循“共同制定人才培养方案”、“共同开发专业课程”、“共同参与专业培养过程”、“共同评价人才培养质量”的“四共同”模式，实现真正意义上的协同育人新模式，推进专业课程内容与职业标准对接、教学过程与生产过程对接。强化实践教学，提高综合性、设计性实验教学的比重，合理设置实践环节，提高学生实践能力。原则上，经、管、文、法、艺等学科的专业实践教学学分占总学分比例不低于30%，理工科专业实践教学学分占总学分比例不低于35%。</w:t>
      </w:r>
    </w:p>
    <w:p>
      <w:pPr>
        <w:numPr>
          <w:ilvl w:val="0"/>
          <w:numId w:val="1"/>
        </w:numPr>
        <w:spacing w:line="300" w:lineRule="auto"/>
        <w:ind w:firstLine="560" w:firstLineChars="200"/>
        <w:rPr>
          <w:rFonts w:ascii="楷体_GB2312" w:hAnsi="宋体" w:eastAsia="楷体_GB2312"/>
          <w:b/>
          <w:color w:val="auto"/>
          <w:sz w:val="28"/>
          <w:szCs w:val="28"/>
        </w:rPr>
      </w:pPr>
      <w:r>
        <w:rPr>
          <w:rFonts w:hint="eastAsia" w:ascii="楷体_GB2312" w:hAnsi="宋体" w:eastAsia="楷体_GB2312"/>
          <w:b/>
          <w:color w:val="auto"/>
          <w:sz w:val="28"/>
          <w:szCs w:val="28"/>
        </w:rPr>
        <w:t>扎实推进创新创业教育，促进专业教育与创新创业教育有机融合</w:t>
      </w:r>
    </w:p>
    <w:p>
      <w:pPr>
        <w:spacing w:line="300" w:lineRule="auto"/>
        <w:ind w:firstLine="521"/>
        <w:rPr>
          <w:rFonts w:ascii="楷体_GB2312" w:hAnsi="宋体" w:eastAsia="楷体_GB2312"/>
          <w:bCs/>
          <w:color w:val="auto"/>
          <w:sz w:val="24"/>
        </w:rPr>
      </w:pPr>
      <w:r>
        <w:rPr>
          <w:rFonts w:hint="eastAsia" w:ascii="楷体_GB2312" w:hAnsi="宋体" w:eastAsia="楷体_GB2312"/>
          <w:bCs/>
          <w:color w:val="auto"/>
          <w:sz w:val="24"/>
        </w:rPr>
        <w:t>根据人才培养定位和创新创业教育目标要求，促进专业教育与创新创业教育有机融合，调整专业课程设置，挖掘和充实各类专业课程的创新创业教育资源，在传授专业知识过程中加强创新创业教育。培养学生实践能力与创新意识，鼓励学生参加省大学生创新性实验计划项目、教育行政部门主办（认可）的学科竞赛、学院创意创新大赛等。成绩优良者可申请项目奖励学分，所获奖励学分可替代专业选修课或通识教育课学分，凡同一项目多次获奖的，按最高级别奖励，不重复计算。</w:t>
      </w:r>
    </w:p>
    <w:p>
      <w:pPr>
        <w:spacing w:line="300" w:lineRule="auto"/>
        <w:ind w:firstLine="521"/>
        <w:rPr>
          <w:rFonts w:ascii="楷体_GB2312" w:hAnsi="宋体" w:eastAsia="楷体_GB2312"/>
          <w:bCs/>
          <w:color w:val="auto"/>
          <w:sz w:val="24"/>
        </w:rPr>
      </w:pPr>
      <w:r>
        <w:rPr>
          <w:rFonts w:hint="eastAsia" w:ascii="楷体_GB2312" w:hAnsi="宋体" w:eastAsia="楷体_GB2312"/>
          <w:bCs/>
          <w:color w:val="auto"/>
          <w:sz w:val="24"/>
        </w:rPr>
        <w:t>开设自主学习课程，培养学生自主学习能力，实施“扬长”教育，培养特色人才。该课程只有学分规定，无学时要求、无教师授课、无卷面考试。学生可以选择自己最感兴趣的方向或领域自主学习或研究，以发表作品、研究报告或方案策划作为学习成果，由学院组织专业教师或业界专家进行评审，给出成绩。自主学习课程成绩可替代专业选修课或通识教育课学分，亦可作为其他课程的加分依据。</w:t>
      </w:r>
    </w:p>
    <w:p>
      <w:pPr>
        <w:numPr>
          <w:ilvl w:val="0"/>
          <w:numId w:val="1"/>
        </w:numPr>
        <w:spacing w:line="300" w:lineRule="auto"/>
        <w:ind w:firstLine="560" w:firstLineChars="200"/>
        <w:rPr>
          <w:rFonts w:ascii="楷体_GB2312" w:hAnsi="宋体" w:eastAsia="楷体_GB2312"/>
          <w:b/>
          <w:color w:val="auto"/>
          <w:sz w:val="28"/>
          <w:szCs w:val="28"/>
        </w:rPr>
      </w:pPr>
      <w:r>
        <w:rPr>
          <w:rFonts w:hint="eastAsia" w:ascii="楷体_GB2312" w:hAnsi="宋体" w:eastAsia="楷体_GB2312"/>
          <w:b/>
          <w:color w:val="auto"/>
          <w:sz w:val="28"/>
          <w:szCs w:val="28"/>
        </w:rPr>
        <w:t>传承发展中国传统文化，完善学生人格修养</w:t>
      </w:r>
    </w:p>
    <w:p>
      <w:pPr>
        <w:spacing w:line="300" w:lineRule="auto"/>
        <w:ind w:firstLine="480"/>
        <w:rPr>
          <w:rFonts w:ascii="楷体_GB2312" w:hAnsi="宋体" w:eastAsia="楷体_GB2312"/>
          <w:bCs/>
          <w:color w:val="auto"/>
          <w:sz w:val="24"/>
        </w:rPr>
      </w:pPr>
      <w:r>
        <w:rPr>
          <w:rFonts w:hint="eastAsia" w:ascii="楷体_GB2312" w:hAnsi="宋体" w:eastAsia="楷体_GB2312"/>
          <w:bCs/>
          <w:color w:val="auto"/>
          <w:sz w:val="24"/>
        </w:rPr>
        <w:t>把中华优秀传统文化教育系统融入课程，增强学生传承弘扬中华优秀传统文化的责任感和使命感。在通识教育课程“文史经典与文化传承”模块中，开设中华优秀传统文化类必修课程，拓宽中华优秀传统文化选修课覆盖面，引导学生完善人格修养，强化学生文化主体意识和文化创新意识。</w:t>
      </w:r>
    </w:p>
    <w:p>
      <w:pPr>
        <w:spacing w:line="300" w:lineRule="auto"/>
        <w:ind w:firstLine="441" w:firstLineChars="147"/>
        <w:rPr>
          <w:rFonts w:ascii="楷体_GB2312" w:hAnsi="宋体" w:eastAsia="楷体_GB2312"/>
          <w:b/>
          <w:color w:val="auto"/>
          <w:sz w:val="30"/>
          <w:szCs w:val="30"/>
        </w:rPr>
      </w:pPr>
      <w:r>
        <w:rPr>
          <w:rFonts w:hint="eastAsia" w:ascii="楷体_GB2312" w:hAnsi="宋体" w:eastAsia="楷体_GB2312"/>
          <w:b/>
          <w:color w:val="auto"/>
          <w:sz w:val="30"/>
          <w:szCs w:val="30"/>
        </w:rPr>
        <w:t>三、培养方案的基本框架</w:t>
      </w:r>
    </w:p>
    <w:p>
      <w:pPr>
        <w:spacing w:line="300" w:lineRule="auto"/>
        <w:ind w:firstLine="412" w:firstLineChars="147"/>
        <w:rPr>
          <w:rFonts w:ascii="楷体_GB2312" w:hAnsi="宋体" w:eastAsia="楷体_GB2312"/>
          <w:b/>
          <w:color w:val="auto"/>
          <w:sz w:val="28"/>
          <w:szCs w:val="28"/>
        </w:rPr>
      </w:pPr>
      <w:r>
        <w:rPr>
          <w:rFonts w:hint="eastAsia" w:ascii="楷体_GB2312" w:hAnsi="宋体" w:eastAsia="楷体_GB2312"/>
          <w:b/>
          <w:color w:val="auto"/>
          <w:sz w:val="28"/>
          <w:szCs w:val="28"/>
        </w:rPr>
        <w:t>（一）课程体系</w:t>
      </w:r>
    </w:p>
    <w:p>
      <w:pPr>
        <w:snapToGrid w:val="0"/>
        <w:spacing w:line="300" w:lineRule="auto"/>
        <w:ind w:firstLine="480" w:firstLineChars="200"/>
        <w:rPr>
          <w:rFonts w:ascii="楷体_GB2312" w:hAnsi="宋体" w:eastAsia="楷体_GB2312"/>
          <w:color w:val="auto"/>
          <w:sz w:val="24"/>
        </w:rPr>
      </w:pPr>
      <w:r>
        <w:rPr>
          <w:rFonts w:hint="eastAsia" w:ascii="楷体_GB2312" w:hAnsi="宋体" w:eastAsia="楷体_GB2312" w:cs="宋体"/>
          <w:color w:val="auto"/>
          <w:kern w:val="0"/>
          <w:sz w:val="24"/>
        </w:rPr>
        <w:t>课程体系</w:t>
      </w:r>
      <w:r>
        <w:rPr>
          <w:rFonts w:hint="eastAsia" w:ascii="楷体_GB2312" w:hAnsi="宋体" w:eastAsia="楷体_GB2312"/>
          <w:color w:val="auto"/>
          <w:sz w:val="24"/>
        </w:rPr>
        <w:t>由“三大平台”+“九大课程模块”组成。即“基本素质平台、专业知识平台、应用能力平台”三大平台，以及“基础通识模块、拓展通识模块、创新创业模块、素质通识模块、跨专业基础模块、专业基础模块、基本能力模块、岗位能力模块、践训能力模块”九大课程模块。结构上“三个”平台的课程没有明显的层次性，既相互独立，又有机结合，体现“素质、知识、能力”并重并行之原则。详见下表：</w:t>
      </w:r>
    </w:p>
    <w:tbl>
      <w:tblPr>
        <w:tblStyle w:val="11"/>
        <w:tblW w:w="9245"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2117"/>
        <w:gridCol w:w="720"/>
        <w:gridCol w:w="3420"/>
        <w:gridCol w:w="1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235" w:type="dxa"/>
            <w:shd w:val="clear" w:color="auto" w:fill="FFFFFF"/>
            <w:vAlign w:val="center"/>
          </w:tcPr>
          <w:p>
            <w:pPr>
              <w:snapToGrid w:val="0"/>
              <w:jc w:val="center"/>
              <w:rPr>
                <w:rFonts w:ascii="楷体_GB2312" w:hAnsi="宋体" w:eastAsia="楷体_GB2312"/>
                <w:color w:val="auto"/>
                <w:szCs w:val="21"/>
              </w:rPr>
            </w:pPr>
            <w:r>
              <w:rPr>
                <w:rFonts w:hint="eastAsia" w:ascii="楷体_GB2312" w:hAnsi="宋体" w:eastAsia="楷体_GB2312" w:cs="仿宋_GB2312"/>
                <w:color w:val="auto"/>
                <w:szCs w:val="21"/>
              </w:rPr>
              <w:t>知识平台</w:t>
            </w:r>
          </w:p>
        </w:tc>
        <w:tc>
          <w:tcPr>
            <w:tcW w:w="2117" w:type="dxa"/>
            <w:shd w:val="clear" w:color="auto" w:fill="FFFFFF"/>
            <w:vAlign w:val="center"/>
          </w:tcPr>
          <w:p>
            <w:pPr>
              <w:snapToGrid w:val="0"/>
              <w:jc w:val="center"/>
              <w:rPr>
                <w:rFonts w:ascii="楷体_GB2312" w:hAnsi="宋体" w:eastAsia="楷体_GB2312"/>
                <w:color w:val="auto"/>
                <w:szCs w:val="21"/>
              </w:rPr>
            </w:pPr>
            <w:r>
              <w:rPr>
                <w:rFonts w:hint="eastAsia" w:ascii="楷体_GB2312" w:hAnsi="宋体" w:eastAsia="楷体_GB2312" w:cs="仿宋_GB2312"/>
                <w:color w:val="auto"/>
                <w:szCs w:val="21"/>
              </w:rPr>
              <w:t>课程模块</w:t>
            </w:r>
          </w:p>
        </w:tc>
        <w:tc>
          <w:tcPr>
            <w:tcW w:w="720" w:type="dxa"/>
            <w:shd w:val="clear" w:color="auto" w:fill="FFFFFF"/>
            <w:vAlign w:val="center"/>
          </w:tcPr>
          <w:p>
            <w:pPr>
              <w:snapToGrid w:val="0"/>
              <w:jc w:val="center"/>
              <w:rPr>
                <w:rFonts w:ascii="楷体_GB2312" w:hAnsi="宋体" w:eastAsia="楷体_GB2312"/>
                <w:color w:val="auto"/>
                <w:szCs w:val="21"/>
              </w:rPr>
            </w:pPr>
            <w:r>
              <w:rPr>
                <w:rFonts w:hint="eastAsia" w:ascii="楷体_GB2312" w:hAnsi="宋体" w:eastAsia="楷体_GB2312" w:cs="仿宋_GB2312"/>
                <w:color w:val="auto"/>
                <w:szCs w:val="21"/>
              </w:rPr>
              <w:t>模块</w:t>
            </w:r>
          </w:p>
          <w:p>
            <w:pPr>
              <w:snapToGrid w:val="0"/>
              <w:jc w:val="center"/>
              <w:rPr>
                <w:rFonts w:ascii="楷体_GB2312" w:hAnsi="宋体" w:eastAsia="楷体_GB2312"/>
                <w:color w:val="auto"/>
                <w:szCs w:val="21"/>
              </w:rPr>
            </w:pPr>
            <w:r>
              <w:rPr>
                <w:rFonts w:hint="eastAsia" w:ascii="楷体_GB2312" w:hAnsi="宋体" w:eastAsia="楷体_GB2312" w:cs="仿宋_GB2312"/>
                <w:color w:val="auto"/>
                <w:szCs w:val="21"/>
              </w:rPr>
              <w:t>学分</w:t>
            </w:r>
          </w:p>
        </w:tc>
        <w:tc>
          <w:tcPr>
            <w:tcW w:w="3420" w:type="dxa"/>
            <w:shd w:val="clear" w:color="auto" w:fill="FFFFFF"/>
            <w:vAlign w:val="center"/>
          </w:tcPr>
          <w:p>
            <w:pPr>
              <w:snapToGrid w:val="0"/>
              <w:jc w:val="center"/>
              <w:rPr>
                <w:rFonts w:ascii="楷体_GB2312" w:hAnsi="宋体" w:eastAsia="楷体_GB2312"/>
                <w:color w:val="auto"/>
                <w:szCs w:val="21"/>
              </w:rPr>
            </w:pPr>
            <w:r>
              <w:rPr>
                <w:rFonts w:hint="eastAsia" w:ascii="楷体_GB2312" w:hAnsi="宋体" w:eastAsia="楷体_GB2312" w:cs="仿宋_GB2312"/>
                <w:color w:val="auto"/>
                <w:szCs w:val="21"/>
              </w:rPr>
              <w:t>课程名称或课程类别</w:t>
            </w:r>
          </w:p>
        </w:tc>
        <w:tc>
          <w:tcPr>
            <w:tcW w:w="1753" w:type="dxa"/>
            <w:shd w:val="clear" w:color="auto" w:fill="FFFFFF"/>
            <w:vAlign w:val="center"/>
          </w:tcPr>
          <w:p>
            <w:pPr>
              <w:snapToGrid w:val="0"/>
              <w:jc w:val="center"/>
              <w:rPr>
                <w:rFonts w:ascii="楷体_GB2312" w:hAnsi="宋体" w:eastAsia="楷体_GB2312"/>
                <w:color w:val="auto"/>
                <w:szCs w:val="21"/>
              </w:rPr>
            </w:pPr>
            <w:r>
              <w:rPr>
                <w:rFonts w:hint="eastAsia" w:ascii="楷体_GB2312" w:hAnsi="宋体" w:eastAsia="楷体_GB2312" w:cs="仿宋_GB2312"/>
                <w:color w:val="auto"/>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8" w:hRule="atLeast"/>
        </w:trPr>
        <w:tc>
          <w:tcPr>
            <w:tcW w:w="1235" w:type="dxa"/>
            <w:vMerge w:val="restart"/>
            <w:vAlign w:val="center"/>
          </w:tcPr>
          <w:p>
            <w:pPr>
              <w:snapToGrid w:val="0"/>
              <w:spacing w:line="360" w:lineRule="auto"/>
              <w:jc w:val="center"/>
              <w:rPr>
                <w:rFonts w:ascii="楷体_GB2312" w:hAnsi="宋体" w:eastAsia="楷体_GB2312"/>
                <w:color w:val="auto"/>
                <w:szCs w:val="21"/>
              </w:rPr>
            </w:pPr>
            <w:r>
              <w:rPr>
                <w:rFonts w:hint="eastAsia" w:ascii="楷体_GB2312" w:hAnsi="宋体" w:eastAsia="楷体_GB2312" w:cs="仿宋_GB2312"/>
                <w:color w:val="auto"/>
                <w:szCs w:val="21"/>
              </w:rPr>
              <w:t>基本素质</w:t>
            </w:r>
          </w:p>
          <w:p>
            <w:pPr>
              <w:snapToGrid w:val="0"/>
              <w:spacing w:line="360" w:lineRule="auto"/>
              <w:jc w:val="center"/>
              <w:rPr>
                <w:rFonts w:ascii="楷体_GB2312" w:hAnsi="宋体" w:eastAsia="楷体_GB2312"/>
                <w:color w:val="auto"/>
                <w:szCs w:val="21"/>
              </w:rPr>
            </w:pPr>
            <w:r>
              <w:rPr>
                <w:rFonts w:hint="eastAsia" w:ascii="楷体_GB2312" w:hAnsi="宋体" w:eastAsia="楷体_GB2312" w:cs="仿宋_GB2312"/>
                <w:color w:val="auto"/>
                <w:szCs w:val="21"/>
              </w:rPr>
              <w:t>平台</w:t>
            </w: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基础通识模块</w:t>
            </w:r>
          </w:p>
        </w:tc>
        <w:tc>
          <w:tcPr>
            <w:tcW w:w="720" w:type="dxa"/>
            <w:vAlign w:val="center"/>
          </w:tcPr>
          <w:p>
            <w:pPr>
              <w:snapToGrid w:val="0"/>
              <w:spacing w:line="360" w:lineRule="auto"/>
              <w:jc w:val="center"/>
              <w:rPr>
                <w:rFonts w:ascii="楷体_GB2312" w:hAnsi="宋体" w:eastAsia="楷体_GB2312"/>
                <w:color w:val="auto"/>
                <w:szCs w:val="21"/>
              </w:rPr>
            </w:pPr>
          </w:p>
        </w:tc>
        <w:tc>
          <w:tcPr>
            <w:tcW w:w="3420"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思政</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体育</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军事理论</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数学</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英语</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计算机</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公共基础课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trPr>
        <w:tc>
          <w:tcPr>
            <w:tcW w:w="1235" w:type="dxa"/>
            <w:vMerge w:val="continue"/>
            <w:vAlign w:val="center"/>
          </w:tcPr>
          <w:p>
            <w:pPr>
              <w:snapToGrid w:val="0"/>
              <w:spacing w:line="360" w:lineRule="auto"/>
              <w:jc w:val="center"/>
              <w:rPr>
                <w:rFonts w:ascii="楷体_GB2312" w:hAnsi="宋体" w:eastAsia="楷体_GB2312"/>
                <w:color w:val="auto"/>
                <w:szCs w:val="21"/>
              </w:rPr>
            </w:pP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拓展通识模块</w:t>
            </w:r>
          </w:p>
        </w:tc>
        <w:tc>
          <w:tcPr>
            <w:tcW w:w="720" w:type="dxa"/>
            <w:vAlign w:val="center"/>
          </w:tcPr>
          <w:p>
            <w:pPr>
              <w:snapToGrid w:val="0"/>
              <w:spacing w:line="360" w:lineRule="auto"/>
              <w:jc w:val="center"/>
              <w:rPr>
                <w:rFonts w:ascii="楷体_GB2312" w:hAnsi="宋体" w:eastAsia="楷体_GB2312"/>
                <w:color w:val="auto"/>
                <w:szCs w:val="21"/>
              </w:rPr>
            </w:pPr>
          </w:p>
        </w:tc>
        <w:tc>
          <w:tcPr>
            <w:tcW w:w="3420"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英语拓展类</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数学拓展类</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计算机拓展类</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公共基础课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trPr>
        <w:tc>
          <w:tcPr>
            <w:tcW w:w="1235" w:type="dxa"/>
            <w:vMerge w:val="continue"/>
            <w:vAlign w:val="center"/>
          </w:tcPr>
          <w:p>
            <w:pPr>
              <w:snapToGrid w:val="0"/>
              <w:spacing w:line="360" w:lineRule="auto"/>
              <w:jc w:val="center"/>
              <w:rPr>
                <w:rFonts w:ascii="楷体_GB2312" w:hAnsi="宋体" w:eastAsia="楷体_GB2312"/>
                <w:color w:val="auto"/>
                <w:szCs w:val="21"/>
              </w:rPr>
            </w:pP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创新创业模块</w:t>
            </w:r>
          </w:p>
        </w:tc>
        <w:tc>
          <w:tcPr>
            <w:tcW w:w="720" w:type="dxa"/>
            <w:vAlign w:val="center"/>
          </w:tcPr>
          <w:p>
            <w:pPr>
              <w:snapToGrid w:val="0"/>
              <w:spacing w:line="360" w:lineRule="auto"/>
              <w:jc w:val="center"/>
              <w:rPr>
                <w:rFonts w:ascii="楷体_GB2312" w:hAnsi="宋体" w:eastAsia="楷体_GB2312"/>
                <w:color w:val="auto"/>
                <w:szCs w:val="21"/>
              </w:rPr>
            </w:pPr>
            <w:r>
              <w:rPr>
                <w:rFonts w:hint="eastAsia" w:ascii="楷体_GB2312" w:hAnsi="宋体" w:eastAsia="楷体_GB2312"/>
                <w:color w:val="auto"/>
                <w:szCs w:val="21"/>
              </w:rPr>
              <w:t>4</w:t>
            </w:r>
          </w:p>
        </w:tc>
        <w:tc>
          <w:tcPr>
            <w:tcW w:w="3420" w:type="dxa"/>
            <w:vAlign w:val="center"/>
          </w:tcPr>
          <w:p>
            <w:pPr>
              <w:snapToGrid w:val="0"/>
              <w:rPr>
                <w:rFonts w:ascii="楷体_GB2312" w:hAnsi="宋体" w:eastAsia="楷体_GB2312" w:cs="仿宋_GB2312"/>
                <w:color w:val="auto"/>
                <w:szCs w:val="21"/>
              </w:rPr>
            </w:pPr>
            <w:r>
              <w:rPr>
                <w:rFonts w:hint="eastAsia" w:ascii="楷体_GB2312" w:hAnsi="宋体" w:eastAsia="楷体_GB2312" w:cs="仿宋_GB2312"/>
                <w:color w:val="auto"/>
                <w:szCs w:val="21"/>
              </w:rPr>
              <w:t>创意与创新</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大学生职业生涯规划与管理</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大学生就业指导</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其它创新创业类课程</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通识课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1235" w:type="dxa"/>
            <w:vMerge w:val="continue"/>
            <w:vAlign w:val="center"/>
          </w:tcPr>
          <w:p>
            <w:pPr>
              <w:snapToGrid w:val="0"/>
              <w:spacing w:line="360" w:lineRule="auto"/>
              <w:jc w:val="center"/>
              <w:rPr>
                <w:rFonts w:ascii="楷体_GB2312" w:hAnsi="宋体" w:eastAsia="楷体_GB2312"/>
                <w:color w:val="auto"/>
                <w:szCs w:val="21"/>
              </w:rPr>
            </w:pP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素质通识模块</w:t>
            </w:r>
          </w:p>
        </w:tc>
        <w:tc>
          <w:tcPr>
            <w:tcW w:w="720" w:type="dxa"/>
            <w:vAlign w:val="center"/>
          </w:tcPr>
          <w:p>
            <w:pPr>
              <w:snapToGrid w:val="0"/>
              <w:jc w:val="center"/>
              <w:rPr>
                <w:rFonts w:ascii="楷体_GB2312" w:hAnsi="宋体" w:eastAsia="楷体_GB2312" w:cs="仿宋_GB2312"/>
                <w:color w:val="auto"/>
                <w:szCs w:val="21"/>
              </w:rPr>
            </w:pPr>
            <w:r>
              <w:rPr>
                <w:rFonts w:hint="eastAsia" w:ascii="楷体_GB2312" w:hAnsi="宋体" w:eastAsia="楷体_GB2312" w:cs="仿宋_GB2312"/>
                <w:color w:val="auto"/>
                <w:szCs w:val="21"/>
              </w:rPr>
              <w:t>8</w:t>
            </w:r>
          </w:p>
        </w:tc>
        <w:tc>
          <w:tcPr>
            <w:tcW w:w="3420"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德、博、雅、健类等素质教育课程</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通识课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restart"/>
            <w:vAlign w:val="center"/>
          </w:tcPr>
          <w:p>
            <w:pPr>
              <w:snapToGrid w:val="0"/>
              <w:spacing w:line="360" w:lineRule="auto"/>
              <w:jc w:val="center"/>
              <w:rPr>
                <w:rFonts w:ascii="楷体_GB2312" w:hAnsi="宋体" w:eastAsia="楷体_GB2312"/>
                <w:color w:val="auto"/>
                <w:szCs w:val="21"/>
              </w:rPr>
            </w:pPr>
            <w:r>
              <w:rPr>
                <w:rFonts w:hint="eastAsia" w:ascii="楷体_GB2312" w:hAnsi="宋体" w:eastAsia="楷体_GB2312" w:cs="仿宋_GB2312"/>
                <w:color w:val="auto"/>
                <w:szCs w:val="21"/>
              </w:rPr>
              <w:t>专业知识</w:t>
            </w:r>
          </w:p>
          <w:p>
            <w:pPr>
              <w:snapToGrid w:val="0"/>
              <w:spacing w:line="360" w:lineRule="auto"/>
              <w:jc w:val="center"/>
              <w:rPr>
                <w:rFonts w:ascii="楷体_GB2312" w:hAnsi="宋体" w:eastAsia="楷体_GB2312"/>
                <w:color w:val="auto"/>
                <w:szCs w:val="21"/>
              </w:rPr>
            </w:pPr>
            <w:r>
              <w:rPr>
                <w:rFonts w:hint="eastAsia" w:ascii="楷体_GB2312" w:hAnsi="宋体" w:eastAsia="楷体_GB2312" w:cs="仿宋_GB2312"/>
                <w:color w:val="auto"/>
                <w:szCs w:val="21"/>
              </w:rPr>
              <w:t>平台</w:t>
            </w: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跨专业知识模块</w:t>
            </w:r>
          </w:p>
        </w:tc>
        <w:tc>
          <w:tcPr>
            <w:tcW w:w="720" w:type="dxa"/>
            <w:vAlign w:val="center"/>
          </w:tcPr>
          <w:p>
            <w:pPr>
              <w:snapToGrid w:val="0"/>
              <w:jc w:val="center"/>
              <w:rPr>
                <w:rFonts w:ascii="楷体_GB2312" w:hAnsi="宋体" w:eastAsia="楷体_GB2312" w:cs="仿宋_GB2312"/>
                <w:color w:val="auto"/>
                <w:szCs w:val="21"/>
              </w:rPr>
            </w:pPr>
          </w:p>
        </w:tc>
        <w:tc>
          <w:tcPr>
            <w:tcW w:w="3420"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跨专业共享课</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学科基础课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9" w:hRule="atLeast"/>
        </w:trPr>
        <w:tc>
          <w:tcPr>
            <w:tcW w:w="1235" w:type="dxa"/>
            <w:vMerge w:val="continue"/>
            <w:vAlign w:val="center"/>
          </w:tcPr>
          <w:p>
            <w:pPr>
              <w:snapToGrid w:val="0"/>
              <w:spacing w:line="360" w:lineRule="auto"/>
              <w:jc w:val="center"/>
              <w:rPr>
                <w:rFonts w:ascii="楷体_GB2312" w:hAnsi="宋体" w:eastAsia="楷体_GB2312"/>
                <w:color w:val="auto"/>
                <w:szCs w:val="21"/>
              </w:rPr>
            </w:pP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专业基础模块</w:t>
            </w:r>
          </w:p>
        </w:tc>
        <w:tc>
          <w:tcPr>
            <w:tcW w:w="720" w:type="dxa"/>
            <w:vAlign w:val="center"/>
          </w:tcPr>
          <w:p>
            <w:pPr>
              <w:snapToGrid w:val="0"/>
              <w:jc w:val="center"/>
              <w:rPr>
                <w:rFonts w:ascii="楷体_GB2312" w:hAnsi="宋体" w:eastAsia="楷体_GB2312" w:cs="仿宋_GB2312"/>
                <w:color w:val="auto"/>
                <w:szCs w:val="21"/>
              </w:rPr>
            </w:pPr>
          </w:p>
        </w:tc>
        <w:tc>
          <w:tcPr>
            <w:tcW w:w="3420"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各专业的专业基础课</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学科基础课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restart"/>
            <w:vAlign w:val="center"/>
          </w:tcPr>
          <w:p>
            <w:pPr>
              <w:snapToGrid w:val="0"/>
              <w:spacing w:line="360" w:lineRule="auto"/>
              <w:jc w:val="center"/>
              <w:rPr>
                <w:rFonts w:ascii="楷体_GB2312" w:hAnsi="宋体" w:eastAsia="楷体_GB2312"/>
                <w:color w:val="auto"/>
                <w:szCs w:val="21"/>
              </w:rPr>
            </w:pPr>
            <w:r>
              <w:rPr>
                <w:rFonts w:hint="eastAsia" w:ascii="楷体_GB2312" w:hAnsi="宋体" w:eastAsia="楷体_GB2312" w:cs="仿宋_GB2312"/>
                <w:color w:val="auto"/>
                <w:szCs w:val="21"/>
              </w:rPr>
              <w:t>应用能力</w:t>
            </w:r>
          </w:p>
          <w:p>
            <w:pPr>
              <w:snapToGrid w:val="0"/>
              <w:spacing w:line="360" w:lineRule="auto"/>
              <w:jc w:val="center"/>
              <w:rPr>
                <w:rFonts w:ascii="楷体_GB2312" w:hAnsi="宋体" w:eastAsia="楷体_GB2312"/>
                <w:color w:val="auto"/>
                <w:szCs w:val="21"/>
              </w:rPr>
            </w:pPr>
            <w:r>
              <w:rPr>
                <w:rFonts w:hint="eastAsia" w:ascii="楷体_GB2312" w:hAnsi="宋体" w:eastAsia="楷体_GB2312" w:cs="仿宋_GB2312"/>
                <w:color w:val="auto"/>
                <w:szCs w:val="21"/>
              </w:rPr>
              <w:t>平台</w:t>
            </w: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基本能力模块</w:t>
            </w:r>
          </w:p>
        </w:tc>
        <w:tc>
          <w:tcPr>
            <w:tcW w:w="720" w:type="dxa"/>
            <w:vAlign w:val="center"/>
          </w:tcPr>
          <w:p>
            <w:pPr>
              <w:snapToGrid w:val="0"/>
              <w:spacing w:line="360" w:lineRule="auto"/>
              <w:jc w:val="center"/>
              <w:rPr>
                <w:rFonts w:ascii="楷体_GB2312" w:hAnsi="宋体" w:eastAsia="楷体_GB2312"/>
                <w:color w:val="auto"/>
                <w:szCs w:val="21"/>
              </w:rPr>
            </w:pPr>
          </w:p>
        </w:tc>
        <w:tc>
          <w:tcPr>
            <w:tcW w:w="3420"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专业课、专业选修课</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专业必修课</w:t>
            </w:r>
          </w:p>
          <w:p>
            <w:pPr>
              <w:snapToGrid w:val="0"/>
              <w:jc w:val="center"/>
              <w:rPr>
                <w:rFonts w:ascii="楷体_GB2312" w:hAnsi="宋体" w:eastAsia="楷体_GB2312"/>
                <w:color w:val="auto"/>
                <w:szCs w:val="21"/>
              </w:rPr>
            </w:pPr>
            <w:r>
              <w:rPr>
                <w:rFonts w:hint="eastAsia" w:ascii="楷体_GB2312" w:hAnsi="宋体" w:eastAsia="楷体_GB2312"/>
                <w:color w:val="auto"/>
                <w:szCs w:val="21"/>
              </w:rPr>
              <w:t>专业选修课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continue"/>
            <w:vAlign w:val="center"/>
          </w:tcPr>
          <w:p>
            <w:pPr>
              <w:snapToGrid w:val="0"/>
              <w:spacing w:line="360" w:lineRule="auto"/>
              <w:jc w:val="center"/>
              <w:rPr>
                <w:rFonts w:ascii="楷体_GB2312" w:hAnsi="宋体" w:eastAsia="楷体_GB2312"/>
                <w:color w:val="auto"/>
                <w:szCs w:val="21"/>
              </w:rPr>
            </w:pP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岗位能力模块</w:t>
            </w:r>
          </w:p>
        </w:tc>
        <w:tc>
          <w:tcPr>
            <w:tcW w:w="720" w:type="dxa"/>
            <w:vAlign w:val="center"/>
          </w:tcPr>
          <w:p>
            <w:pPr>
              <w:snapToGrid w:val="0"/>
              <w:spacing w:line="360" w:lineRule="auto"/>
              <w:jc w:val="center"/>
              <w:rPr>
                <w:rFonts w:ascii="楷体_GB2312" w:hAnsi="宋体" w:eastAsia="楷体_GB2312"/>
                <w:color w:val="auto"/>
                <w:szCs w:val="21"/>
              </w:rPr>
            </w:pPr>
          </w:p>
        </w:tc>
        <w:tc>
          <w:tcPr>
            <w:tcW w:w="3420"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① XX岗位能力课群组</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② XX岗位能力课群组</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③ ……</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专业选修课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continue"/>
            <w:vAlign w:val="center"/>
          </w:tcPr>
          <w:p>
            <w:pPr>
              <w:snapToGrid w:val="0"/>
              <w:spacing w:line="360" w:lineRule="auto"/>
              <w:jc w:val="center"/>
              <w:rPr>
                <w:rFonts w:ascii="楷体_GB2312" w:hAnsi="宋体" w:eastAsia="楷体_GB2312"/>
                <w:color w:val="auto"/>
                <w:szCs w:val="21"/>
              </w:rPr>
            </w:pPr>
          </w:p>
        </w:tc>
        <w:tc>
          <w:tcPr>
            <w:tcW w:w="2117"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践训能力模块</w:t>
            </w:r>
          </w:p>
        </w:tc>
        <w:tc>
          <w:tcPr>
            <w:tcW w:w="720" w:type="dxa"/>
            <w:vAlign w:val="center"/>
          </w:tcPr>
          <w:p>
            <w:pPr>
              <w:snapToGrid w:val="0"/>
              <w:spacing w:line="360" w:lineRule="auto"/>
              <w:jc w:val="center"/>
              <w:rPr>
                <w:rFonts w:ascii="楷体_GB2312" w:hAnsi="宋体" w:eastAsia="楷体_GB2312"/>
                <w:color w:val="auto"/>
                <w:szCs w:val="21"/>
              </w:rPr>
            </w:pPr>
          </w:p>
        </w:tc>
        <w:tc>
          <w:tcPr>
            <w:tcW w:w="3420" w:type="dxa"/>
            <w:vAlign w:val="center"/>
          </w:tcPr>
          <w:p>
            <w:pPr>
              <w:snapToGrid w:val="0"/>
              <w:rPr>
                <w:rFonts w:ascii="楷体_GB2312" w:hAnsi="宋体" w:eastAsia="楷体_GB2312"/>
                <w:color w:val="auto"/>
                <w:szCs w:val="21"/>
              </w:rPr>
            </w:pPr>
            <w:r>
              <w:rPr>
                <w:rFonts w:hint="eastAsia" w:ascii="楷体_GB2312" w:hAnsi="宋体" w:eastAsia="楷体_GB2312" w:cs="仿宋_GB2312"/>
                <w:color w:val="auto"/>
                <w:szCs w:val="21"/>
              </w:rPr>
              <w:t>① 课程设计、专业实验、专业实训、专业实践、毕业设计；</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② 认识实习、专业实习、毕业实习、社会实践、军事训练；</w:t>
            </w:r>
          </w:p>
          <w:p>
            <w:pPr>
              <w:snapToGrid w:val="0"/>
              <w:rPr>
                <w:rFonts w:ascii="楷体_GB2312" w:hAnsi="宋体" w:eastAsia="楷体_GB2312"/>
                <w:color w:val="auto"/>
                <w:szCs w:val="21"/>
              </w:rPr>
            </w:pPr>
            <w:r>
              <w:rPr>
                <w:rFonts w:hint="eastAsia" w:ascii="楷体_GB2312" w:hAnsi="宋体" w:eastAsia="楷体_GB2312" w:cs="仿宋_GB2312"/>
                <w:color w:val="auto"/>
                <w:szCs w:val="21"/>
              </w:rPr>
              <w:t>③ 职业资格考证训练、技能竞赛训练、创新创业实战训练。</w:t>
            </w:r>
          </w:p>
        </w:tc>
        <w:tc>
          <w:tcPr>
            <w:tcW w:w="1753"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实践课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2" w:type="dxa"/>
            <w:gridSpan w:val="2"/>
            <w:vAlign w:val="center"/>
          </w:tcPr>
          <w:p>
            <w:pPr>
              <w:snapToGrid w:val="0"/>
              <w:jc w:val="center"/>
              <w:rPr>
                <w:rFonts w:ascii="楷体_GB2312" w:hAnsi="宋体" w:eastAsia="楷体_GB2312" w:cs="仿宋_GB2312"/>
                <w:color w:val="auto"/>
                <w:szCs w:val="21"/>
              </w:rPr>
            </w:pPr>
            <w:r>
              <w:rPr>
                <w:rFonts w:hint="eastAsia" w:ascii="楷体_GB2312" w:hAnsi="宋体" w:eastAsia="楷体_GB2312" w:cs="仿宋_GB2312"/>
                <w:color w:val="auto"/>
                <w:szCs w:val="21"/>
              </w:rPr>
              <w:t>总    计</w:t>
            </w:r>
          </w:p>
        </w:tc>
        <w:tc>
          <w:tcPr>
            <w:tcW w:w="720" w:type="dxa"/>
            <w:vAlign w:val="center"/>
          </w:tcPr>
          <w:p>
            <w:pPr>
              <w:snapToGrid w:val="0"/>
              <w:jc w:val="center"/>
              <w:rPr>
                <w:rFonts w:ascii="楷体_GB2312" w:hAnsi="宋体" w:eastAsia="楷体_GB2312"/>
                <w:color w:val="auto"/>
                <w:szCs w:val="21"/>
              </w:rPr>
            </w:pPr>
            <w:r>
              <w:rPr>
                <w:rFonts w:hint="eastAsia" w:ascii="楷体_GB2312" w:hAnsi="宋体" w:eastAsia="楷体_GB2312"/>
                <w:color w:val="auto"/>
                <w:szCs w:val="21"/>
              </w:rPr>
              <w:t>165</w:t>
            </w:r>
          </w:p>
        </w:tc>
        <w:tc>
          <w:tcPr>
            <w:tcW w:w="3420" w:type="dxa"/>
            <w:vAlign w:val="center"/>
          </w:tcPr>
          <w:p>
            <w:pPr>
              <w:snapToGrid w:val="0"/>
              <w:rPr>
                <w:rFonts w:ascii="楷体_GB2312" w:hAnsi="宋体" w:eastAsia="楷体_GB2312" w:cs="仿宋_GB2312"/>
                <w:color w:val="auto"/>
                <w:szCs w:val="21"/>
              </w:rPr>
            </w:pPr>
          </w:p>
        </w:tc>
        <w:tc>
          <w:tcPr>
            <w:tcW w:w="1753" w:type="dxa"/>
            <w:vAlign w:val="center"/>
          </w:tcPr>
          <w:p>
            <w:pPr>
              <w:snapToGrid w:val="0"/>
              <w:spacing w:line="360" w:lineRule="auto"/>
              <w:jc w:val="center"/>
              <w:rPr>
                <w:rFonts w:ascii="楷体_GB2312" w:hAnsi="宋体" w:eastAsia="楷体_GB2312"/>
                <w:color w:val="auto"/>
                <w:szCs w:val="21"/>
              </w:rPr>
            </w:pPr>
          </w:p>
        </w:tc>
      </w:tr>
    </w:tbl>
    <w:p>
      <w:pPr>
        <w:spacing w:line="300" w:lineRule="auto"/>
        <w:ind w:firstLine="412" w:firstLineChars="147"/>
        <w:rPr>
          <w:rFonts w:ascii="楷体_GB2312" w:hAnsi="宋体" w:eastAsia="楷体_GB2312"/>
          <w:b/>
          <w:color w:val="auto"/>
          <w:sz w:val="28"/>
          <w:szCs w:val="28"/>
        </w:rPr>
      </w:pPr>
      <w:r>
        <w:rPr>
          <w:rFonts w:hint="eastAsia" w:ascii="楷体_GB2312" w:hAnsi="宋体" w:eastAsia="楷体_GB2312"/>
          <w:b/>
          <w:color w:val="auto"/>
          <w:sz w:val="28"/>
          <w:szCs w:val="28"/>
        </w:rPr>
        <w:t xml:space="preserve">（二）学分与学时  </w:t>
      </w:r>
    </w:p>
    <w:p>
      <w:pPr>
        <w:spacing w:line="300" w:lineRule="auto"/>
        <w:ind w:firstLine="360" w:firstLineChars="150"/>
        <w:rPr>
          <w:rFonts w:ascii="楷体_GB2312" w:hAnsi="宋体" w:eastAsia="楷体_GB2312"/>
          <w:bCs/>
          <w:color w:val="auto"/>
          <w:sz w:val="24"/>
        </w:rPr>
      </w:pPr>
      <w:r>
        <w:rPr>
          <w:rFonts w:hint="eastAsia" w:ascii="楷体_GB2312" w:eastAsia="楷体_GB2312"/>
          <w:bCs/>
          <w:color w:val="auto"/>
          <w:sz w:val="24"/>
        </w:rPr>
        <w:t>1</w:t>
      </w:r>
      <w:r>
        <w:rPr>
          <w:rFonts w:hint="eastAsia" w:ascii="楷体_GB2312" w:hAnsi="宋体" w:eastAsia="楷体_GB2312"/>
          <w:bCs/>
          <w:color w:val="auto"/>
          <w:sz w:val="24"/>
        </w:rPr>
        <w:t>、计划总学分要求</w:t>
      </w:r>
    </w:p>
    <w:p>
      <w:pPr>
        <w:spacing w:line="300" w:lineRule="auto"/>
        <w:ind w:firstLine="840" w:firstLineChars="350"/>
        <w:rPr>
          <w:rFonts w:hint="eastAsia" w:ascii="楷体_GB2312" w:hAnsi="宋体" w:eastAsia="楷体_GB2312"/>
          <w:bCs/>
          <w:color w:val="auto"/>
          <w:sz w:val="24"/>
        </w:rPr>
      </w:pPr>
      <w:r>
        <w:rPr>
          <w:rFonts w:hint="eastAsia" w:ascii="楷体_GB2312" w:hAnsi="宋体" w:eastAsia="楷体_GB2312"/>
          <w:bCs/>
          <w:color w:val="auto"/>
          <w:sz w:val="24"/>
        </w:rPr>
        <w:t>各专业总学分为165学分。原则上，</w:t>
      </w:r>
      <w:r>
        <w:rPr>
          <w:rFonts w:hint="eastAsia" w:ascii="楷体_GB2312" w:hAnsi="宋体" w:eastAsia="楷体_GB2312"/>
          <w:color w:val="auto"/>
          <w:sz w:val="24"/>
        </w:rPr>
        <w:t>经、管、文、法、艺等学科的专业实践教学学分占总学分比例不低于30%，理工科专业实践教学学分占总学分比例不低于35%。</w:t>
      </w:r>
      <w:r>
        <w:rPr>
          <w:rFonts w:hint="eastAsia" w:ascii="楷体_GB2312" w:hAnsi="宋体" w:eastAsia="楷体_GB2312"/>
          <w:bCs/>
          <w:color w:val="auto"/>
          <w:sz w:val="24"/>
        </w:rPr>
        <w:t>实践学分含集中性实践环节、课内实验（实践）折算的学分。</w:t>
      </w:r>
    </w:p>
    <w:p>
      <w:pPr>
        <w:spacing w:line="300" w:lineRule="auto"/>
        <w:rPr>
          <w:rFonts w:hint="eastAsia" w:ascii="楷体_GB2312" w:hAnsi="宋体" w:eastAsia="楷体_GB2312"/>
          <w:bCs/>
          <w:color w:val="FF0000"/>
          <w:sz w:val="24"/>
          <w:lang w:eastAsia="zh-CN"/>
        </w:rPr>
      </w:pPr>
      <w:r>
        <w:rPr>
          <w:rFonts w:hint="eastAsia" w:ascii="楷体_GB2312" w:hAnsi="宋体" w:eastAsia="楷体_GB2312"/>
          <w:bCs/>
          <w:color w:val="FF0000"/>
          <w:sz w:val="24"/>
          <w:lang w:val="en-US" w:eastAsia="zh-CN"/>
        </w:rPr>
        <w:t xml:space="preserve">    </w:t>
      </w:r>
      <w:r>
        <w:rPr>
          <w:rFonts w:hint="eastAsia" w:ascii="楷体_GB2312" w:hAnsi="宋体" w:eastAsia="楷体_GB2312"/>
          <w:bCs/>
          <w:color w:val="FF0000"/>
          <w:sz w:val="24"/>
          <w:lang w:eastAsia="zh-CN"/>
        </w:rPr>
        <w:t>学生在校学习期间，除完成本科人才培养方案规定的</w:t>
      </w:r>
      <w:r>
        <w:rPr>
          <w:rFonts w:hint="eastAsia" w:ascii="楷体_GB2312" w:hAnsi="宋体" w:eastAsia="楷体_GB2312"/>
          <w:bCs/>
          <w:color w:val="FF0000"/>
          <w:sz w:val="24"/>
          <w:lang w:val="en-US" w:eastAsia="zh-CN"/>
        </w:rPr>
        <w:t>165</w:t>
      </w:r>
      <w:r>
        <w:rPr>
          <w:rFonts w:hint="eastAsia" w:ascii="楷体_GB2312" w:hAnsi="宋体" w:eastAsia="楷体_GB2312"/>
          <w:bCs/>
          <w:color w:val="FF0000"/>
          <w:sz w:val="24"/>
          <w:lang w:eastAsia="zh-CN"/>
        </w:rPr>
        <w:t>学分外，必须同时获得素质拓展学分不低于</w:t>
      </w:r>
      <w:r>
        <w:rPr>
          <w:rFonts w:hint="eastAsia" w:ascii="楷体_GB2312" w:hAnsi="宋体" w:eastAsia="楷体_GB2312"/>
          <w:bCs/>
          <w:color w:val="FF0000"/>
          <w:sz w:val="24"/>
          <w:lang w:val="en-US" w:eastAsia="zh-CN"/>
        </w:rPr>
        <w:t>3</w:t>
      </w:r>
      <w:r>
        <w:rPr>
          <w:rFonts w:hint="eastAsia" w:ascii="楷体_GB2312" w:hAnsi="宋体" w:eastAsia="楷体_GB2312"/>
          <w:bCs/>
          <w:color w:val="FF0000"/>
          <w:sz w:val="24"/>
          <w:lang w:eastAsia="zh-CN"/>
        </w:rPr>
        <w:t>学分，其中课外科技活动学分不低于</w:t>
      </w:r>
      <w:r>
        <w:rPr>
          <w:rFonts w:hint="eastAsia" w:ascii="楷体_GB2312" w:hAnsi="宋体" w:eastAsia="楷体_GB2312"/>
          <w:bCs/>
          <w:color w:val="FF0000"/>
          <w:sz w:val="24"/>
          <w:lang w:val="en-US" w:eastAsia="zh-CN"/>
        </w:rPr>
        <w:t>1.5学分，</w:t>
      </w:r>
      <w:r>
        <w:rPr>
          <w:rFonts w:hint="eastAsia" w:ascii="楷体_GB2312" w:hAnsi="宋体" w:eastAsia="楷体_GB2312"/>
          <w:bCs/>
          <w:color w:val="FF0000"/>
          <w:sz w:val="24"/>
          <w:lang w:eastAsia="zh-CN"/>
        </w:rPr>
        <w:t>达到本科人才培养方案学分的有关要求，方可取得毕业资格。素质拓展学分范畴及认定详见《阳光学院素质拓展学分认定管理实施办法》。</w:t>
      </w:r>
    </w:p>
    <w:p>
      <w:pPr>
        <w:spacing w:line="300" w:lineRule="auto"/>
        <w:ind w:firstLine="360" w:firstLineChars="150"/>
        <w:rPr>
          <w:rFonts w:ascii="楷体_GB2312" w:hAnsi="宋体" w:eastAsia="楷体_GB2312"/>
          <w:bCs/>
          <w:strike/>
          <w:color w:val="auto"/>
          <w:sz w:val="24"/>
        </w:rPr>
      </w:pPr>
      <w:r>
        <w:rPr>
          <w:rFonts w:hint="eastAsia" w:ascii="楷体_GB2312" w:eastAsia="楷体_GB2312"/>
          <w:bCs/>
          <w:color w:val="auto"/>
          <w:sz w:val="24"/>
        </w:rPr>
        <w:t>2</w:t>
      </w:r>
      <w:r>
        <w:rPr>
          <w:rFonts w:hint="eastAsia" w:ascii="楷体_GB2312" w:hAnsi="宋体" w:eastAsia="楷体_GB2312"/>
          <w:bCs/>
          <w:color w:val="auto"/>
          <w:sz w:val="24"/>
        </w:rPr>
        <w:t>、学分与学时的关系</w:t>
      </w:r>
    </w:p>
    <w:p>
      <w:pPr>
        <w:spacing w:line="300" w:lineRule="auto"/>
        <w:ind w:firstLine="840" w:firstLineChars="350"/>
        <w:rPr>
          <w:rFonts w:ascii="楷体_GB2312" w:hAnsi="宋体" w:eastAsia="楷体_GB2312"/>
          <w:bCs/>
          <w:color w:val="auto"/>
          <w:spacing w:val="10"/>
          <w:sz w:val="24"/>
        </w:rPr>
      </w:pPr>
      <w:r>
        <w:rPr>
          <w:rFonts w:hint="eastAsia" w:ascii="楷体_GB2312" w:hAnsi="宋体" w:eastAsia="楷体_GB2312"/>
          <w:bCs/>
          <w:color w:val="auto"/>
          <w:sz w:val="24"/>
        </w:rPr>
        <w:t>①</w:t>
      </w:r>
      <w:r>
        <w:rPr>
          <w:rFonts w:hint="eastAsia" w:ascii="楷体_GB2312" w:hAnsi="宋体" w:eastAsia="楷体_GB2312"/>
          <w:bCs/>
          <w:color w:val="auto"/>
          <w:spacing w:val="10"/>
          <w:sz w:val="24"/>
        </w:rPr>
        <w:t>课堂教学16学时为1学分；</w:t>
      </w:r>
    </w:p>
    <w:p>
      <w:pPr>
        <w:spacing w:line="300" w:lineRule="auto"/>
        <w:ind w:firstLine="840" w:firstLineChars="350"/>
        <w:rPr>
          <w:rFonts w:ascii="楷体_GB2312" w:hAnsi="宋体" w:eastAsia="楷体_GB2312"/>
          <w:bCs/>
          <w:color w:val="auto"/>
          <w:sz w:val="24"/>
        </w:rPr>
      </w:pPr>
      <w:r>
        <w:rPr>
          <w:rFonts w:hint="eastAsia" w:ascii="楷体_GB2312" w:hAnsi="宋体" w:eastAsia="楷体_GB2312"/>
          <w:bCs/>
          <w:color w:val="auto"/>
          <w:sz w:val="24"/>
        </w:rPr>
        <w:t>②</w:t>
      </w:r>
      <w:r>
        <w:rPr>
          <w:rFonts w:hint="eastAsia" w:ascii="楷体_GB2312" w:hAnsi="宋体" w:eastAsia="楷体_GB2312"/>
          <w:bCs/>
          <w:color w:val="auto"/>
          <w:spacing w:val="4"/>
          <w:sz w:val="24"/>
        </w:rPr>
        <w:t>实践教学以周为单位，每周为</w:t>
      </w:r>
      <w:r>
        <w:rPr>
          <w:rFonts w:hint="eastAsia" w:ascii="楷体_GB2312" w:eastAsia="楷体_GB2312"/>
          <w:bCs/>
          <w:color w:val="auto"/>
          <w:spacing w:val="4"/>
          <w:sz w:val="24"/>
        </w:rPr>
        <w:t>1</w:t>
      </w:r>
      <w:r>
        <w:rPr>
          <w:rFonts w:hint="eastAsia" w:ascii="楷体_GB2312" w:hAnsi="宋体" w:eastAsia="楷体_GB2312"/>
          <w:bCs/>
          <w:color w:val="auto"/>
          <w:spacing w:val="4"/>
          <w:sz w:val="24"/>
        </w:rPr>
        <w:t>学分；</w:t>
      </w:r>
    </w:p>
    <w:p>
      <w:pPr>
        <w:spacing w:line="300" w:lineRule="auto"/>
        <w:rPr>
          <w:rFonts w:ascii="楷体_GB2312" w:hAnsi="宋体" w:eastAsia="楷体_GB2312"/>
          <w:bCs/>
          <w:color w:val="auto"/>
          <w:spacing w:val="10"/>
          <w:sz w:val="24"/>
        </w:rPr>
      </w:pPr>
      <w:r>
        <w:rPr>
          <w:rFonts w:hint="eastAsia" w:ascii="楷体_GB2312" w:hAnsi="宋体" w:eastAsia="楷体_GB2312"/>
          <w:bCs/>
          <w:color w:val="auto"/>
          <w:sz w:val="24"/>
          <w:lang w:val="en-US" w:eastAsia="zh-CN"/>
        </w:rPr>
        <w:t xml:space="preserve">       </w:t>
      </w:r>
      <w:r>
        <w:rPr>
          <w:rFonts w:hint="eastAsia" w:ascii="楷体_GB2312" w:hAnsi="宋体" w:eastAsia="楷体_GB2312"/>
          <w:bCs/>
          <w:color w:val="auto"/>
          <w:sz w:val="24"/>
        </w:rPr>
        <w:t>③</w:t>
      </w:r>
      <w:r>
        <w:rPr>
          <w:rFonts w:hint="eastAsia" w:ascii="楷体_GB2312" w:hAnsi="宋体" w:eastAsia="楷体_GB2312"/>
          <w:bCs/>
          <w:color w:val="auto"/>
          <w:spacing w:val="10"/>
          <w:sz w:val="24"/>
        </w:rPr>
        <w:t>学分的最小单位为</w:t>
      </w:r>
      <w:r>
        <w:rPr>
          <w:rFonts w:hint="eastAsia" w:ascii="楷体_GB2312" w:eastAsia="楷体_GB2312"/>
          <w:bCs/>
          <w:color w:val="auto"/>
          <w:spacing w:val="10"/>
          <w:sz w:val="24"/>
        </w:rPr>
        <w:t>0.5</w:t>
      </w:r>
      <w:r>
        <w:rPr>
          <w:rFonts w:hint="eastAsia" w:ascii="楷体_GB2312" w:hAnsi="宋体" w:eastAsia="楷体_GB2312"/>
          <w:bCs/>
          <w:color w:val="auto"/>
          <w:spacing w:val="10"/>
          <w:sz w:val="24"/>
        </w:rPr>
        <w:t>。</w:t>
      </w:r>
    </w:p>
    <w:p>
      <w:pPr>
        <w:spacing w:line="300" w:lineRule="auto"/>
        <w:ind w:firstLine="360" w:firstLineChars="150"/>
        <w:rPr>
          <w:rFonts w:ascii="楷体_GB2312" w:hAnsi="宋体" w:eastAsia="楷体_GB2312"/>
          <w:bCs/>
          <w:color w:val="auto"/>
          <w:sz w:val="24"/>
        </w:rPr>
      </w:pPr>
      <w:r>
        <w:rPr>
          <w:rFonts w:hint="eastAsia" w:ascii="楷体_GB2312" w:hAnsi="宋体" w:eastAsia="楷体_GB2312"/>
          <w:bCs/>
          <w:color w:val="auto"/>
          <w:sz w:val="24"/>
        </w:rPr>
        <w:t>3、大学生职业生涯规划与管理、大学生就业指导、大学生心理健康教育等三门课程不列入按学分计算的课程范围，但学生必须取得合格成绩后才准予毕业。</w:t>
      </w:r>
    </w:p>
    <w:p>
      <w:pPr>
        <w:spacing w:line="300" w:lineRule="auto"/>
        <w:ind w:firstLine="412" w:firstLineChars="147"/>
        <w:rPr>
          <w:rFonts w:ascii="楷体_GB2312" w:hAnsi="宋体" w:eastAsia="楷体_GB2312"/>
          <w:b/>
          <w:color w:val="auto"/>
          <w:sz w:val="28"/>
          <w:szCs w:val="28"/>
        </w:rPr>
      </w:pPr>
      <w:r>
        <w:rPr>
          <w:rFonts w:hint="eastAsia" w:ascii="楷体_GB2312" w:hAnsi="宋体" w:eastAsia="楷体_GB2312"/>
          <w:b/>
          <w:color w:val="auto"/>
          <w:sz w:val="28"/>
          <w:szCs w:val="28"/>
        </w:rPr>
        <w:t>（三）课程设置</w:t>
      </w:r>
    </w:p>
    <w:p>
      <w:pPr>
        <w:pStyle w:val="5"/>
        <w:spacing w:line="300" w:lineRule="auto"/>
        <w:ind w:firstLine="360" w:firstLineChars="150"/>
        <w:rPr>
          <w:bCs/>
          <w:color w:val="auto"/>
          <w:sz w:val="24"/>
        </w:rPr>
      </w:pPr>
      <w:r>
        <w:rPr>
          <w:rFonts w:hint="eastAsia"/>
          <w:bCs/>
          <w:color w:val="auto"/>
          <w:sz w:val="24"/>
        </w:rPr>
        <w:t>1</w:t>
      </w:r>
      <w:r>
        <w:rPr>
          <w:rFonts w:hint="eastAsia" w:hAnsi="宋体"/>
          <w:bCs/>
          <w:color w:val="auto"/>
          <w:sz w:val="24"/>
        </w:rPr>
        <w:t>、</w:t>
      </w:r>
      <w:r>
        <w:rPr>
          <w:rFonts w:hint="eastAsia"/>
          <w:bCs/>
          <w:color w:val="auto"/>
          <w:spacing w:val="6"/>
          <w:sz w:val="24"/>
        </w:rPr>
        <w:t>基础通识模块学时、安排学分分配和具体方案安排</w:t>
      </w:r>
    </w:p>
    <w:tbl>
      <w:tblPr>
        <w:tblStyle w:val="11"/>
        <w:tblW w:w="929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66"/>
        <w:gridCol w:w="1324"/>
        <w:gridCol w:w="873"/>
        <w:gridCol w:w="1051"/>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316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课 程 名 称</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学 时</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学 分</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学 期</w:t>
            </w:r>
          </w:p>
        </w:tc>
        <w:tc>
          <w:tcPr>
            <w:tcW w:w="2876" w:type="dxa"/>
            <w:vAlign w:val="center"/>
          </w:tcPr>
          <w:p>
            <w:pPr>
              <w:spacing w:line="300" w:lineRule="auto"/>
              <w:jc w:val="center"/>
              <w:rPr>
                <w:rFonts w:ascii="楷体_GB2312" w:eastAsia="楷体_GB2312"/>
                <w:color w:val="auto"/>
                <w:sz w:val="24"/>
              </w:rPr>
            </w:pPr>
            <w:r>
              <w:rPr>
                <w:rFonts w:hint="eastAsia" w:ascii="楷体_GB2312" w:hAnsi="宋体" w:eastAsia="楷体_GB2312"/>
                <w:color w:val="auto"/>
                <w:sz w:val="24"/>
              </w:rPr>
              <w:t>适宜开课专业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军事理论</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军事训练</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2周</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pStyle w:val="5"/>
              <w:spacing w:line="300" w:lineRule="auto"/>
              <w:ind w:firstLine="0" w:firstLineChars="0"/>
              <w:jc w:val="center"/>
              <w:rPr>
                <w:color w:val="auto"/>
                <w:sz w:val="24"/>
              </w:rPr>
            </w:pPr>
            <w:r>
              <w:rPr>
                <w:rFonts w:hint="eastAsia"/>
                <w:color w:val="auto"/>
                <w:sz w:val="24"/>
              </w:rPr>
              <w:t>思想道德修养与法律基础</w:t>
            </w:r>
          </w:p>
        </w:tc>
        <w:tc>
          <w:tcPr>
            <w:tcW w:w="1324" w:type="dxa"/>
            <w:vAlign w:val="center"/>
          </w:tcPr>
          <w:p>
            <w:pPr>
              <w:pStyle w:val="5"/>
              <w:spacing w:line="300" w:lineRule="auto"/>
              <w:ind w:firstLine="0" w:firstLineChars="0"/>
              <w:jc w:val="center"/>
              <w:rPr>
                <w:color w:val="auto"/>
                <w:sz w:val="24"/>
              </w:rPr>
            </w:pPr>
            <w:r>
              <w:rPr>
                <w:rFonts w:hint="eastAsia"/>
                <w:color w:val="auto"/>
                <w:sz w:val="24"/>
              </w:rPr>
              <w:t>32</w:t>
            </w:r>
          </w:p>
        </w:tc>
        <w:tc>
          <w:tcPr>
            <w:tcW w:w="873" w:type="dxa"/>
            <w:vAlign w:val="center"/>
          </w:tcPr>
          <w:p>
            <w:pPr>
              <w:pStyle w:val="5"/>
              <w:spacing w:line="300" w:lineRule="auto"/>
              <w:ind w:firstLine="0" w:firstLineChars="0"/>
              <w:jc w:val="center"/>
              <w:rPr>
                <w:color w:val="auto"/>
                <w:sz w:val="24"/>
              </w:rPr>
            </w:pPr>
            <w:r>
              <w:rPr>
                <w:rFonts w:hint="eastAsia"/>
                <w:color w:val="auto"/>
                <w:sz w:val="24"/>
              </w:rPr>
              <w:t>2</w:t>
            </w:r>
          </w:p>
        </w:tc>
        <w:tc>
          <w:tcPr>
            <w:tcW w:w="1051" w:type="dxa"/>
            <w:vAlign w:val="center"/>
          </w:tcPr>
          <w:p>
            <w:pPr>
              <w:pStyle w:val="5"/>
              <w:spacing w:line="300" w:lineRule="auto"/>
              <w:ind w:firstLine="0" w:firstLineChars="0"/>
              <w:jc w:val="center"/>
              <w:rPr>
                <w:color w:val="auto"/>
                <w:sz w:val="24"/>
              </w:rPr>
            </w:pPr>
            <w:r>
              <w:rPr>
                <w:rFonts w:hint="eastAsia"/>
                <w:color w:val="auto"/>
                <w:sz w:val="24"/>
              </w:rPr>
              <w:t>1</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pStyle w:val="5"/>
              <w:spacing w:line="300" w:lineRule="auto"/>
              <w:ind w:firstLine="0" w:firstLineChars="0"/>
              <w:jc w:val="center"/>
              <w:rPr>
                <w:color w:val="auto"/>
                <w:sz w:val="24"/>
              </w:rPr>
            </w:pPr>
            <w:r>
              <w:rPr>
                <w:rFonts w:hint="eastAsia"/>
                <w:color w:val="auto"/>
                <w:sz w:val="24"/>
              </w:rPr>
              <w:t>马克思主义基本原理概论</w:t>
            </w:r>
          </w:p>
        </w:tc>
        <w:tc>
          <w:tcPr>
            <w:tcW w:w="1324" w:type="dxa"/>
            <w:vAlign w:val="center"/>
          </w:tcPr>
          <w:p>
            <w:pPr>
              <w:pStyle w:val="5"/>
              <w:spacing w:line="300" w:lineRule="auto"/>
              <w:ind w:firstLine="0" w:firstLineChars="0"/>
              <w:jc w:val="center"/>
              <w:rPr>
                <w:color w:val="auto"/>
                <w:sz w:val="24"/>
              </w:rPr>
            </w:pPr>
            <w:r>
              <w:rPr>
                <w:rFonts w:hint="eastAsia"/>
                <w:color w:val="auto"/>
                <w:sz w:val="24"/>
              </w:rPr>
              <w:t>32</w:t>
            </w:r>
          </w:p>
        </w:tc>
        <w:tc>
          <w:tcPr>
            <w:tcW w:w="873" w:type="dxa"/>
            <w:vAlign w:val="center"/>
          </w:tcPr>
          <w:p>
            <w:pPr>
              <w:pStyle w:val="5"/>
              <w:spacing w:line="300" w:lineRule="auto"/>
              <w:ind w:firstLine="0" w:firstLineChars="0"/>
              <w:jc w:val="center"/>
              <w:rPr>
                <w:color w:val="auto"/>
                <w:sz w:val="24"/>
              </w:rPr>
            </w:pPr>
            <w:r>
              <w:rPr>
                <w:rFonts w:hint="eastAsia"/>
                <w:color w:val="auto"/>
                <w:sz w:val="24"/>
              </w:rPr>
              <w:t>2</w:t>
            </w:r>
          </w:p>
        </w:tc>
        <w:tc>
          <w:tcPr>
            <w:tcW w:w="1051" w:type="dxa"/>
            <w:vAlign w:val="center"/>
          </w:tcPr>
          <w:p>
            <w:pPr>
              <w:pStyle w:val="5"/>
              <w:spacing w:line="300" w:lineRule="auto"/>
              <w:ind w:firstLine="0" w:firstLineChars="0"/>
              <w:jc w:val="center"/>
              <w:rPr>
                <w:color w:val="auto"/>
                <w:sz w:val="24"/>
              </w:rPr>
            </w:pPr>
            <w:r>
              <w:rPr>
                <w:rFonts w:hint="eastAsia"/>
                <w:color w:val="auto"/>
                <w:sz w:val="24"/>
              </w:rPr>
              <w:t>2</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pStyle w:val="5"/>
              <w:spacing w:line="300" w:lineRule="auto"/>
              <w:ind w:firstLine="0" w:firstLineChars="0"/>
              <w:jc w:val="center"/>
              <w:rPr>
                <w:color w:val="auto"/>
                <w:sz w:val="24"/>
              </w:rPr>
            </w:pPr>
            <w:r>
              <w:rPr>
                <w:rFonts w:hint="eastAsia"/>
                <w:color w:val="auto"/>
                <w:sz w:val="24"/>
              </w:rPr>
              <w:t>中国近现代史纲要</w:t>
            </w:r>
          </w:p>
        </w:tc>
        <w:tc>
          <w:tcPr>
            <w:tcW w:w="1324" w:type="dxa"/>
            <w:vAlign w:val="center"/>
          </w:tcPr>
          <w:p>
            <w:pPr>
              <w:pStyle w:val="5"/>
              <w:spacing w:line="300" w:lineRule="auto"/>
              <w:ind w:firstLine="0" w:firstLineChars="0"/>
              <w:jc w:val="center"/>
              <w:rPr>
                <w:color w:val="auto"/>
                <w:sz w:val="24"/>
              </w:rPr>
            </w:pPr>
            <w:r>
              <w:rPr>
                <w:rFonts w:hint="eastAsia"/>
                <w:color w:val="auto"/>
                <w:sz w:val="24"/>
              </w:rPr>
              <w:t>24</w:t>
            </w:r>
          </w:p>
        </w:tc>
        <w:tc>
          <w:tcPr>
            <w:tcW w:w="873" w:type="dxa"/>
            <w:vAlign w:val="center"/>
          </w:tcPr>
          <w:p>
            <w:pPr>
              <w:pStyle w:val="5"/>
              <w:spacing w:line="300" w:lineRule="auto"/>
              <w:ind w:firstLine="0" w:firstLineChars="0"/>
              <w:jc w:val="center"/>
              <w:rPr>
                <w:color w:val="auto"/>
                <w:sz w:val="24"/>
              </w:rPr>
            </w:pPr>
            <w:r>
              <w:rPr>
                <w:rFonts w:hint="eastAsia"/>
                <w:color w:val="auto"/>
                <w:sz w:val="24"/>
              </w:rPr>
              <w:t>1.5</w:t>
            </w:r>
          </w:p>
        </w:tc>
        <w:tc>
          <w:tcPr>
            <w:tcW w:w="1051" w:type="dxa"/>
            <w:vAlign w:val="center"/>
          </w:tcPr>
          <w:p>
            <w:pPr>
              <w:pStyle w:val="5"/>
              <w:spacing w:line="300" w:lineRule="auto"/>
              <w:ind w:firstLine="0" w:firstLineChars="0"/>
              <w:jc w:val="center"/>
              <w:rPr>
                <w:color w:val="auto"/>
                <w:sz w:val="24"/>
              </w:rPr>
            </w:pPr>
            <w:r>
              <w:rPr>
                <w:rFonts w:hint="eastAsia"/>
                <w:color w:val="auto"/>
                <w:sz w:val="24"/>
              </w:rPr>
              <w:t>3</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pStyle w:val="5"/>
              <w:spacing w:line="300" w:lineRule="auto"/>
              <w:ind w:firstLine="0" w:firstLineChars="0"/>
              <w:jc w:val="center"/>
              <w:rPr>
                <w:color w:val="auto"/>
                <w:sz w:val="24"/>
              </w:rPr>
            </w:pPr>
            <w:r>
              <w:rPr>
                <w:rFonts w:hint="eastAsia"/>
                <w:color w:val="auto"/>
                <w:sz w:val="24"/>
              </w:rPr>
              <w:t>毛泽东思想和中国特色社会主义理论体系概论</w:t>
            </w:r>
          </w:p>
        </w:tc>
        <w:tc>
          <w:tcPr>
            <w:tcW w:w="1324" w:type="dxa"/>
            <w:vAlign w:val="center"/>
          </w:tcPr>
          <w:p>
            <w:pPr>
              <w:pStyle w:val="5"/>
              <w:spacing w:line="300" w:lineRule="auto"/>
              <w:ind w:firstLine="0" w:firstLineChars="0"/>
              <w:jc w:val="center"/>
              <w:rPr>
                <w:color w:val="auto"/>
                <w:sz w:val="24"/>
              </w:rPr>
            </w:pPr>
            <w:r>
              <w:rPr>
                <w:rFonts w:hint="eastAsia"/>
                <w:color w:val="auto"/>
                <w:sz w:val="24"/>
              </w:rPr>
              <w:t>64</w:t>
            </w:r>
          </w:p>
        </w:tc>
        <w:tc>
          <w:tcPr>
            <w:tcW w:w="873" w:type="dxa"/>
            <w:vAlign w:val="center"/>
          </w:tcPr>
          <w:p>
            <w:pPr>
              <w:pStyle w:val="5"/>
              <w:spacing w:line="300" w:lineRule="auto"/>
              <w:ind w:firstLine="0" w:firstLineChars="0"/>
              <w:jc w:val="center"/>
              <w:rPr>
                <w:color w:val="auto"/>
                <w:sz w:val="24"/>
              </w:rPr>
            </w:pPr>
            <w:r>
              <w:rPr>
                <w:rFonts w:hint="eastAsia"/>
                <w:color w:val="auto"/>
                <w:sz w:val="24"/>
              </w:rPr>
              <w:t>4</w:t>
            </w:r>
          </w:p>
        </w:tc>
        <w:tc>
          <w:tcPr>
            <w:tcW w:w="1051" w:type="dxa"/>
            <w:vAlign w:val="center"/>
          </w:tcPr>
          <w:p>
            <w:pPr>
              <w:pStyle w:val="5"/>
              <w:spacing w:line="300" w:lineRule="auto"/>
              <w:ind w:firstLine="0" w:firstLineChars="0"/>
              <w:jc w:val="center"/>
              <w:rPr>
                <w:color w:val="auto"/>
                <w:sz w:val="24"/>
              </w:rPr>
            </w:pPr>
            <w:r>
              <w:rPr>
                <w:rFonts w:hint="eastAsia"/>
                <w:color w:val="auto"/>
                <w:sz w:val="24"/>
              </w:rPr>
              <w:t>4</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pStyle w:val="5"/>
              <w:spacing w:line="300" w:lineRule="auto"/>
              <w:ind w:firstLine="0" w:firstLineChars="0"/>
              <w:jc w:val="center"/>
              <w:rPr>
                <w:color w:val="auto"/>
                <w:sz w:val="24"/>
              </w:rPr>
            </w:pPr>
            <w:r>
              <w:rPr>
                <w:rFonts w:hint="eastAsia"/>
                <w:color w:val="auto"/>
                <w:sz w:val="24"/>
              </w:rPr>
              <w:t>形势与政策A</w:t>
            </w:r>
          </w:p>
        </w:tc>
        <w:tc>
          <w:tcPr>
            <w:tcW w:w="1324" w:type="dxa"/>
            <w:vAlign w:val="center"/>
          </w:tcPr>
          <w:p>
            <w:pPr>
              <w:pStyle w:val="5"/>
              <w:spacing w:line="240" w:lineRule="auto"/>
              <w:ind w:firstLine="0" w:firstLineChars="0"/>
              <w:jc w:val="center"/>
              <w:rPr>
                <w:color w:val="auto"/>
                <w:sz w:val="24"/>
              </w:rPr>
            </w:pPr>
            <w:r>
              <w:rPr>
                <w:rFonts w:hint="eastAsia"/>
                <w:color w:val="auto"/>
                <w:sz w:val="24"/>
              </w:rPr>
              <w:t>16</w:t>
            </w:r>
          </w:p>
        </w:tc>
        <w:tc>
          <w:tcPr>
            <w:tcW w:w="873" w:type="dxa"/>
            <w:vAlign w:val="center"/>
          </w:tcPr>
          <w:p>
            <w:pPr>
              <w:pStyle w:val="5"/>
              <w:spacing w:line="300" w:lineRule="auto"/>
              <w:ind w:firstLine="0" w:firstLineChars="0"/>
              <w:jc w:val="center"/>
              <w:rPr>
                <w:color w:val="auto"/>
                <w:sz w:val="24"/>
              </w:rPr>
            </w:pPr>
            <w:r>
              <w:rPr>
                <w:rFonts w:hint="eastAsia"/>
                <w:color w:val="auto"/>
                <w:sz w:val="24"/>
              </w:rPr>
              <w:t>1</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pStyle w:val="5"/>
              <w:spacing w:line="300" w:lineRule="auto"/>
              <w:ind w:firstLine="0" w:firstLineChars="0"/>
              <w:jc w:val="center"/>
              <w:rPr>
                <w:color w:val="auto"/>
                <w:sz w:val="24"/>
              </w:rPr>
            </w:pPr>
            <w:r>
              <w:rPr>
                <w:rFonts w:hint="eastAsia"/>
                <w:color w:val="auto"/>
                <w:sz w:val="24"/>
              </w:rPr>
              <w:t>形势与政策B</w:t>
            </w:r>
          </w:p>
        </w:tc>
        <w:tc>
          <w:tcPr>
            <w:tcW w:w="1324" w:type="dxa"/>
            <w:vAlign w:val="center"/>
          </w:tcPr>
          <w:p>
            <w:pPr>
              <w:pStyle w:val="5"/>
              <w:spacing w:line="240" w:lineRule="auto"/>
              <w:ind w:firstLine="0" w:firstLineChars="0"/>
              <w:jc w:val="center"/>
              <w:rPr>
                <w:color w:val="auto"/>
                <w:sz w:val="24"/>
              </w:rPr>
            </w:pPr>
            <w:r>
              <w:rPr>
                <w:rFonts w:hint="eastAsia"/>
                <w:color w:val="auto"/>
                <w:sz w:val="24"/>
              </w:rPr>
              <w:t>16</w:t>
            </w:r>
          </w:p>
        </w:tc>
        <w:tc>
          <w:tcPr>
            <w:tcW w:w="873" w:type="dxa"/>
            <w:vAlign w:val="center"/>
          </w:tcPr>
          <w:p>
            <w:pPr>
              <w:pStyle w:val="5"/>
              <w:spacing w:line="300" w:lineRule="auto"/>
              <w:ind w:firstLine="0" w:firstLineChars="0"/>
              <w:jc w:val="center"/>
              <w:rPr>
                <w:color w:val="auto"/>
                <w:sz w:val="24"/>
              </w:rPr>
            </w:pPr>
            <w:r>
              <w:rPr>
                <w:rFonts w:hint="eastAsia"/>
                <w:color w:val="auto"/>
                <w:sz w:val="24"/>
              </w:rPr>
              <w:t>1</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pStyle w:val="5"/>
              <w:spacing w:line="300" w:lineRule="auto"/>
              <w:ind w:firstLine="0" w:firstLineChars="0"/>
              <w:jc w:val="center"/>
              <w:rPr>
                <w:color w:val="auto"/>
                <w:sz w:val="24"/>
              </w:rPr>
            </w:pPr>
            <w:r>
              <w:rPr>
                <w:rFonts w:hint="eastAsia"/>
                <w:color w:val="auto"/>
                <w:sz w:val="24"/>
              </w:rPr>
              <w:t>思政社会实践（一）</w:t>
            </w:r>
          </w:p>
        </w:tc>
        <w:tc>
          <w:tcPr>
            <w:tcW w:w="1324" w:type="dxa"/>
            <w:vAlign w:val="center"/>
          </w:tcPr>
          <w:p>
            <w:pPr>
              <w:pStyle w:val="5"/>
              <w:spacing w:line="300" w:lineRule="auto"/>
              <w:ind w:firstLine="0" w:firstLineChars="0"/>
              <w:jc w:val="center"/>
              <w:rPr>
                <w:color w:val="auto"/>
                <w:sz w:val="24"/>
              </w:rPr>
            </w:pPr>
            <w:r>
              <w:rPr>
                <w:rFonts w:hint="eastAsia"/>
                <w:color w:val="auto"/>
                <w:sz w:val="24"/>
              </w:rPr>
              <w:t>2周</w:t>
            </w:r>
          </w:p>
        </w:tc>
        <w:tc>
          <w:tcPr>
            <w:tcW w:w="873" w:type="dxa"/>
            <w:vAlign w:val="center"/>
          </w:tcPr>
          <w:p>
            <w:pPr>
              <w:pStyle w:val="5"/>
              <w:spacing w:line="300" w:lineRule="auto"/>
              <w:ind w:firstLine="0" w:firstLineChars="0"/>
              <w:jc w:val="center"/>
              <w:rPr>
                <w:color w:val="auto"/>
                <w:sz w:val="24"/>
              </w:rPr>
            </w:pPr>
            <w:r>
              <w:rPr>
                <w:rFonts w:hint="eastAsia"/>
                <w:color w:val="auto"/>
                <w:sz w:val="24"/>
              </w:rPr>
              <w:t>2</w:t>
            </w:r>
          </w:p>
        </w:tc>
        <w:tc>
          <w:tcPr>
            <w:tcW w:w="1051" w:type="dxa"/>
            <w:vAlign w:val="center"/>
          </w:tcPr>
          <w:p>
            <w:pPr>
              <w:pStyle w:val="5"/>
              <w:spacing w:line="300" w:lineRule="auto"/>
              <w:ind w:firstLine="0" w:firstLineChars="0"/>
              <w:jc w:val="center"/>
              <w:rPr>
                <w:color w:val="auto"/>
                <w:sz w:val="24"/>
              </w:rPr>
            </w:pPr>
            <w:r>
              <w:rPr>
                <w:rFonts w:hint="eastAsia"/>
                <w:color w:val="auto"/>
                <w:sz w:val="24"/>
              </w:rPr>
              <w:t>一年级暑期</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pStyle w:val="5"/>
              <w:spacing w:line="300" w:lineRule="auto"/>
              <w:ind w:firstLine="0" w:firstLineChars="0"/>
              <w:jc w:val="center"/>
              <w:rPr>
                <w:color w:val="auto"/>
                <w:sz w:val="24"/>
              </w:rPr>
            </w:pPr>
            <w:r>
              <w:rPr>
                <w:rFonts w:hint="eastAsia"/>
                <w:color w:val="auto"/>
                <w:sz w:val="24"/>
              </w:rPr>
              <w:t>思政社会实践（二）</w:t>
            </w:r>
          </w:p>
        </w:tc>
        <w:tc>
          <w:tcPr>
            <w:tcW w:w="1324" w:type="dxa"/>
            <w:vAlign w:val="center"/>
          </w:tcPr>
          <w:p>
            <w:pPr>
              <w:pStyle w:val="5"/>
              <w:spacing w:line="300" w:lineRule="auto"/>
              <w:ind w:firstLine="0" w:firstLineChars="0"/>
              <w:jc w:val="center"/>
              <w:rPr>
                <w:color w:val="auto"/>
                <w:sz w:val="24"/>
              </w:rPr>
            </w:pPr>
            <w:r>
              <w:rPr>
                <w:rFonts w:hint="eastAsia"/>
                <w:color w:val="auto"/>
                <w:sz w:val="24"/>
              </w:rPr>
              <w:t>2.5周</w:t>
            </w:r>
          </w:p>
        </w:tc>
        <w:tc>
          <w:tcPr>
            <w:tcW w:w="873" w:type="dxa"/>
            <w:vAlign w:val="center"/>
          </w:tcPr>
          <w:p>
            <w:pPr>
              <w:pStyle w:val="5"/>
              <w:spacing w:line="300" w:lineRule="auto"/>
              <w:ind w:firstLine="0" w:firstLineChars="0"/>
              <w:jc w:val="center"/>
              <w:rPr>
                <w:color w:val="auto"/>
                <w:sz w:val="24"/>
              </w:rPr>
            </w:pPr>
            <w:r>
              <w:rPr>
                <w:rFonts w:hint="eastAsia"/>
                <w:color w:val="auto"/>
                <w:sz w:val="24"/>
              </w:rPr>
              <w:t>2.5</w:t>
            </w:r>
          </w:p>
        </w:tc>
        <w:tc>
          <w:tcPr>
            <w:tcW w:w="1051" w:type="dxa"/>
            <w:vAlign w:val="center"/>
          </w:tcPr>
          <w:p>
            <w:pPr>
              <w:pStyle w:val="5"/>
              <w:spacing w:line="300" w:lineRule="auto"/>
              <w:ind w:firstLine="0" w:firstLineChars="0"/>
              <w:jc w:val="center"/>
              <w:rPr>
                <w:color w:val="auto"/>
                <w:sz w:val="24"/>
              </w:rPr>
            </w:pPr>
            <w:r>
              <w:rPr>
                <w:rFonts w:hint="eastAsia"/>
                <w:color w:val="auto"/>
                <w:sz w:val="24"/>
              </w:rPr>
              <w:t>二年级暑期</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color w:val="auto"/>
                <w:sz w:val="24"/>
              </w:rPr>
            </w:pPr>
            <w:r>
              <w:rPr>
                <w:rFonts w:hint="eastAsia" w:ascii="楷体_GB2312" w:hAnsi="宋体" w:eastAsia="楷体_GB2312"/>
                <w:color w:val="auto"/>
                <w:sz w:val="24"/>
              </w:rPr>
              <w:t>体育A</w:t>
            </w:r>
          </w:p>
        </w:tc>
        <w:tc>
          <w:tcPr>
            <w:tcW w:w="1324" w:type="dxa"/>
            <w:vAlign w:val="center"/>
          </w:tcPr>
          <w:p>
            <w:pPr>
              <w:spacing w:line="300" w:lineRule="auto"/>
              <w:jc w:val="center"/>
              <w:rPr>
                <w:color w:val="auto"/>
                <w:sz w:val="24"/>
              </w:rPr>
            </w:pPr>
            <w:r>
              <w:rPr>
                <w:rFonts w:hint="eastAsia" w:ascii="楷体_GB2312" w:eastAsia="楷体_GB2312"/>
                <w:color w:val="auto"/>
                <w:sz w:val="24"/>
              </w:rPr>
              <w:t>28</w:t>
            </w:r>
          </w:p>
        </w:tc>
        <w:tc>
          <w:tcPr>
            <w:tcW w:w="873" w:type="dxa"/>
            <w:vAlign w:val="center"/>
          </w:tcPr>
          <w:p>
            <w:pPr>
              <w:spacing w:line="300" w:lineRule="auto"/>
              <w:jc w:val="center"/>
              <w:rPr>
                <w:color w:val="auto"/>
                <w:sz w:val="24"/>
              </w:rPr>
            </w:pPr>
            <w:r>
              <w:rPr>
                <w:rFonts w:hint="eastAsia" w:ascii="楷体_GB2312" w:eastAsia="楷体_GB2312"/>
                <w:color w:val="auto"/>
                <w:sz w:val="24"/>
              </w:rPr>
              <w:t>2</w:t>
            </w:r>
          </w:p>
        </w:tc>
        <w:tc>
          <w:tcPr>
            <w:tcW w:w="1051" w:type="dxa"/>
            <w:vAlign w:val="center"/>
          </w:tcPr>
          <w:p>
            <w:pPr>
              <w:spacing w:line="300" w:lineRule="auto"/>
              <w:jc w:val="center"/>
              <w:rPr>
                <w:color w:val="auto"/>
                <w:sz w:val="24"/>
              </w:rPr>
            </w:pPr>
            <w:r>
              <w:rPr>
                <w:rFonts w:hint="eastAsia" w:ascii="楷体_GB2312" w:eastAsia="楷体_GB2312"/>
                <w:color w:val="auto"/>
                <w:sz w:val="24"/>
              </w:rPr>
              <w:t>1</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体育B</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体育C</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体育D</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工科数学（基础）</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64</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工学类各专业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经管数学（基础）</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56</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3.5</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p>
        </w:tc>
        <w:tc>
          <w:tcPr>
            <w:tcW w:w="2876" w:type="dxa"/>
            <w:vAlign w:val="center"/>
          </w:tcPr>
          <w:p>
            <w:pPr>
              <w:jc w:val="center"/>
              <w:rPr>
                <w:rFonts w:ascii="楷体_GB2312" w:hAnsi="宋体" w:eastAsia="楷体_GB2312"/>
                <w:color w:val="auto"/>
                <w:sz w:val="24"/>
              </w:rPr>
            </w:pPr>
            <w:r>
              <w:rPr>
                <w:rFonts w:hint="eastAsia" w:ascii="楷体_GB2312" w:hAnsi="宋体" w:eastAsia="楷体_GB2312"/>
                <w:color w:val="auto"/>
                <w:sz w:val="24"/>
              </w:rPr>
              <w:t>经济管理类、理学类等专业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大学英语（一）</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64</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p>
        </w:tc>
        <w:tc>
          <w:tcPr>
            <w:tcW w:w="2876" w:type="dxa"/>
            <w:vMerge w:val="restart"/>
            <w:vAlign w:val="center"/>
          </w:tcPr>
          <w:p>
            <w:pPr>
              <w:jc w:val="center"/>
              <w:rPr>
                <w:rFonts w:ascii="楷体_GB2312" w:hAnsi="宋体" w:eastAsia="楷体_GB2312"/>
                <w:color w:val="auto"/>
                <w:sz w:val="24"/>
              </w:rPr>
            </w:pPr>
            <w:r>
              <w:rPr>
                <w:rFonts w:hint="eastAsia" w:ascii="楷体_GB2312" w:hAnsi="宋体" w:eastAsia="楷体_GB2312"/>
                <w:color w:val="auto"/>
                <w:sz w:val="24"/>
              </w:rPr>
              <w:t>英语、日语、艺术类除外各专业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大学英语（二）</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80</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5</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2876"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jc w:val="center"/>
              <w:rPr>
                <w:rFonts w:ascii="楷体_GB2312" w:hAnsi="宋体" w:eastAsia="楷体_GB2312"/>
                <w:color w:val="auto"/>
                <w:sz w:val="24"/>
              </w:rPr>
            </w:pPr>
            <w:r>
              <w:rPr>
                <w:rFonts w:hint="eastAsia" w:ascii="楷体_GB2312" w:hAnsi="宋体" w:eastAsia="楷体_GB2312"/>
                <w:color w:val="auto"/>
                <w:sz w:val="24"/>
              </w:rPr>
              <w:t>大学英语（艺术A）</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48</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p>
        </w:tc>
        <w:tc>
          <w:tcPr>
            <w:tcW w:w="2876" w:type="dxa"/>
            <w:vMerge w:val="restart"/>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音乐学、美术学、舞蹈学广播电视编导等专业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jc w:val="center"/>
              <w:rPr>
                <w:rFonts w:ascii="楷体_GB2312" w:hAnsi="宋体" w:eastAsia="楷体_GB2312"/>
                <w:color w:val="auto"/>
                <w:sz w:val="24"/>
              </w:rPr>
            </w:pPr>
            <w:r>
              <w:rPr>
                <w:rFonts w:hint="eastAsia" w:ascii="楷体_GB2312" w:hAnsi="宋体" w:eastAsia="楷体_GB2312"/>
                <w:color w:val="auto"/>
                <w:sz w:val="24"/>
              </w:rPr>
              <w:t>大学英语（艺术B）</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2876"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3166" w:type="dxa"/>
            <w:vAlign w:val="center"/>
          </w:tcPr>
          <w:p>
            <w:pPr>
              <w:jc w:val="center"/>
              <w:rPr>
                <w:rFonts w:ascii="楷体_GB2312" w:hAnsi="宋体" w:eastAsia="楷体_GB2312"/>
                <w:color w:val="auto"/>
                <w:sz w:val="24"/>
              </w:rPr>
            </w:pPr>
            <w:r>
              <w:rPr>
                <w:rFonts w:hint="eastAsia" w:ascii="楷体_GB2312" w:hAnsi="宋体" w:eastAsia="楷体_GB2312"/>
                <w:color w:val="auto"/>
                <w:sz w:val="24"/>
              </w:rPr>
              <w:t>大学信息技术基础</w:t>
            </w:r>
          </w:p>
        </w:tc>
        <w:tc>
          <w:tcPr>
            <w:tcW w:w="132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48</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10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p>
        </w:tc>
        <w:tc>
          <w:tcPr>
            <w:tcW w:w="287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计算机类除外各专业</w:t>
            </w:r>
          </w:p>
        </w:tc>
      </w:tr>
    </w:tbl>
    <w:p>
      <w:pPr>
        <w:pStyle w:val="5"/>
        <w:spacing w:line="300" w:lineRule="auto"/>
        <w:ind w:firstLineChars="0"/>
        <w:rPr>
          <w:rFonts w:hAnsi="宋体"/>
          <w:color w:val="auto"/>
          <w:szCs w:val="21"/>
        </w:rPr>
      </w:pPr>
      <w:r>
        <w:rPr>
          <w:rFonts w:hint="eastAsia" w:hAnsi="宋体"/>
          <w:bCs/>
          <w:color w:val="auto"/>
          <w:spacing w:val="20"/>
          <w:szCs w:val="21"/>
        </w:rPr>
        <w:t>说明：</w:t>
      </w:r>
      <w:r>
        <w:rPr>
          <w:rFonts w:hint="eastAsia" w:hAnsi="宋体"/>
          <w:color w:val="auto"/>
          <w:szCs w:val="21"/>
        </w:rPr>
        <w:t>“思政课”社会实践教学分散在假期完成，由思政部教师组织学生开展社会调查活动。</w:t>
      </w:r>
    </w:p>
    <w:p>
      <w:pPr>
        <w:pStyle w:val="5"/>
        <w:spacing w:line="300" w:lineRule="auto"/>
        <w:ind w:firstLineChars="0"/>
        <w:rPr>
          <w:rFonts w:hAnsi="宋体"/>
          <w:bCs/>
          <w:color w:val="auto"/>
          <w:sz w:val="24"/>
        </w:rPr>
      </w:pPr>
      <w:r>
        <w:rPr>
          <w:rFonts w:hint="eastAsia" w:hAnsi="宋体"/>
          <w:bCs/>
          <w:color w:val="auto"/>
          <w:sz w:val="24"/>
        </w:rPr>
        <w:t>2、拓展通识模块</w:t>
      </w:r>
      <w:r>
        <w:rPr>
          <w:rFonts w:hint="eastAsia"/>
          <w:bCs/>
          <w:color w:val="auto"/>
          <w:spacing w:val="6"/>
          <w:sz w:val="24"/>
        </w:rPr>
        <w:t>学时、安排学分分配和具体方案安排</w:t>
      </w:r>
    </w:p>
    <w:tbl>
      <w:tblPr>
        <w:tblStyle w:val="11"/>
        <w:tblW w:w="97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01"/>
        <w:gridCol w:w="1528"/>
        <w:gridCol w:w="1541"/>
        <w:gridCol w:w="1596"/>
        <w:gridCol w:w="21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blHeader/>
          <w:jc w:val="center"/>
        </w:trPr>
        <w:tc>
          <w:tcPr>
            <w:tcW w:w="3001" w:type="dxa"/>
            <w:vAlign w:val="center"/>
          </w:tcPr>
          <w:p>
            <w:pPr>
              <w:spacing w:line="300" w:lineRule="auto"/>
              <w:jc w:val="center"/>
              <w:rPr>
                <w:rFonts w:ascii="楷体_GB2312" w:hAnsi="宋体" w:eastAsia="楷体_GB2312"/>
                <w:b/>
                <w:color w:val="auto"/>
                <w:spacing w:val="20"/>
                <w:sz w:val="24"/>
              </w:rPr>
            </w:pPr>
            <w:r>
              <w:rPr>
                <w:rFonts w:hint="eastAsia" w:ascii="楷体_GB2312" w:eastAsia="楷体_GB2312"/>
                <w:color w:val="auto"/>
                <w:sz w:val="24"/>
              </w:rPr>
              <w:t>课 程 名 称</w:t>
            </w:r>
          </w:p>
        </w:tc>
        <w:tc>
          <w:tcPr>
            <w:tcW w:w="1528" w:type="dxa"/>
            <w:vAlign w:val="center"/>
          </w:tcPr>
          <w:p>
            <w:pPr>
              <w:spacing w:line="300" w:lineRule="auto"/>
              <w:jc w:val="center"/>
              <w:rPr>
                <w:rFonts w:ascii="楷体_GB2312" w:hAnsi="宋体" w:eastAsia="楷体_GB2312"/>
                <w:b/>
                <w:color w:val="auto"/>
                <w:spacing w:val="20"/>
                <w:sz w:val="24"/>
              </w:rPr>
            </w:pPr>
            <w:r>
              <w:rPr>
                <w:rFonts w:hint="eastAsia" w:ascii="楷体_GB2312" w:eastAsia="楷体_GB2312"/>
                <w:color w:val="auto"/>
                <w:sz w:val="24"/>
              </w:rPr>
              <w:t>学 时</w:t>
            </w:r>
          </w:p>
        </w:tc>
        <w:tc>
          <w:tcPr>
            <w:tcW w:w="1541" w:type="dxa"/>
            <w:vAlign w:val="center"/>
          </w:tcPr>
          <w:p>
            <w:pPr>
              <w:spacing w:line="300" w:lineRule="auto"/>
              <w:jc w:val="center"/>
              <w:rPr>
                <w:rFonts w:ascii="楷体_GB2312" w:hAnsi="宋体" w:eastAsia="楷体_GB2312"/>
                <w:b/>
                <w:color w:val="auto"/>
                <w:spacing w:val="20"/>
                <w:sz w:val="24"/>
              </w:rPr>
            </w:pPr>
            <w:r>
              <w:rPr>
                <w:rFonts w:hint="eastAsia" w:ascii="楷体_GB2312" w:eastAsia="楷体_GB2312"/>
                <w:color w:val="auto"/>
                <w:sz w:val="24"/>
              </w:rPr>
              <w:t>学 分</w:t>
            </w:r>
          </w:p>
        </w:tc>
        <w:tc>
          <w:tcPr>
            <w:tcW w:w="1596" w:type="dxa"/>
            <w:vAlign w:val="center"/>
          </w:tcPr>
          <w:p>
            <w:pPr>
              <w:spacing w:line="300" w:lineRule="auto"/>
              <w:jc w:val="center"/>
              <w:rPr>
                <w:rFonts w:ascii="楷体_GB2312" w:hAnsi="宋体" w:eastAsia="楷体_GB2312"/>
                <w:b/>
                <w:color w:val="auto"/>
                <w:spacing w:val="20"/>
                <w:sz w:val="24"/>
              </w:rPr>
            </w:pPr>
            <w:r>
              <w:rPr>
                <w:rFonts w:hint="eastAsia" w:ascii="楷体_GB2312" w:eastAsia="楷体_GB2312"/>
                <w:color w:val="auto"/>
                <w:sz w:val="24"/>
              </w:rPr>
              <w:t xml:space="preserve">学 期        </w:t>
            </w:r>
          </w:p>
        </w:tc>
        <w:tc>
          <w:tcPr>
            <w:tcW w:w="2101" w:type="dxa"/>
            <w:vAlign w:val="center"/>
          </w:tcPr>
          <w:p>
            <w:pPr>
              <w:spacing w:line="300" w:lineRule="auto"/>
              <w:jc w:val="center"/>
              <w:rPr>
                <w:rFonts w:ascii="楷体_GB2312" w:eastAsia="楷体_GB2312"/>
                <w:color w:val="auto"/>
                <w:sz w:val="24"/>
              </w:rPr>
            </w:pPr>
            <w:r>
              <w:rPr>
                <w:rFonts w:hint="eastAsia" w:ascii="楷体_GB2312" w:hAnsi="宋体" w:eastAsia="楷体_GB2312"/>
                <w:color w:val="auto"/>
                <w:sz w:val="24"/>
              </w:rPr>
              <w:t>适宜开课专业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宋体" w:eastAsia="楷体_GB2312"/>
                <w:color w:val="auto"/>
                <w:spacing w:val="20"/>
                <w:sz w:val="24"/>
              </w:rPr>
            </w:pPr>
            <w:r>
              <w:rPr>
                <w:rFonts w:hint="eastAsia" w:ascii="楷体_GB2312" w:hAnsi="宋体" w:eastAsia="楷体_GB2312"/>
                <w:color w:val="auto"/>
                <w:sz w:val="24"/>
              </w:rPr>
              <w:t>工科数学（应用）</w:t>
            </w:r>
          </w:p>
        </w:tc>
        <w:tc>
          <w:tcPr>
            <w:tcW w:w="1528"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80</w:t>
            </w:r>
          </w:p>
        </w:tc>
        <w:tc>
          <w:tcPr>
            <w:tcW w:w="154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5</w:t>
            </w:r>
          </w:p>
        </w:tc>
        <w:tc>
          <w:tcPr>
            <w:tcW w:w="15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2101" w:type="dxa"/>
            <w:vAlign w:val="center"/>
          </w:tcPr>
          <w:p>
            <w:pPr>
              <w:spacing w:line="300" w:lineRule="auto"/>
              <w:rPr>
                <w:rFonts w:ascii="楷体_GB2312" w:eastAsia="楷体_GB2312"/>
                <w:color w:val="auto"/>
                <w:sz w:val="24"/>
              </w:rPr>
            </w:pPr>
            <w:r>
              <w:rPr>
                <w:rFonts w:hint="eastAsia" w:ascii="楷体_GB2312" w:hAnsi="宋体" w:eastAsia="楷体_GB2312"/>
                <w:color w:val="auto"/>
                <w:sz w:val="24"/>
              </w:rPr>
              <w:t>工学类各专业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宋体" w:eastAsia="楷体_GB2312"/>
                <w:color w:val="auto"/>
                <w:spacing w:val="20"/>
                <w:sz w:val="24"/>
              </w:rPr>
            </w:pPr>
            <w:r>
              <w:rPr>
                <w:rFonts w:hint="eastAsia" w:ascii="楷体_GB2312" w:hAnsi="宋体" w:eastAsia="楷体_GB2312"/>
                <w:color w:val="auto"/>
                <w:sz w:val="24"/>
              </w:rPr>
              <w:t>经管数学（应用）</w:t>
            </w:r>
          </w:p>
        </w:tc>
        <w:tc>
          <w:tcPr>
            <w:tcW w:w="1528"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56</w:t>
            </w:r>
          </w:p>
        </w:tc>
        <w:tc>
          <w:tcPr>
            <w:tcW w:w="154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3.5</w:t>
            </w:r>
          </w:p>
        </w:tc>
        <w:tc>
          <w:tcPr>
            <w:tcW w:w="15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2101" w:type="dxa"/>
            <w:vAlign w:val="center"/>
          </w:tcPr>
          <w:p>
            <w:pPr>
              <w:rPr>
                <w:rFonts w:ascii="楷体_GB2312" w:eastAsia="楷体_GB2312"/>
                <w:color w:val="auto"/>
                <w:sz w:val="24"/>
              </w:rPr>
            </w:pPr>
            <w:r>
              <w:rPr>
                <w:rFonts w:hint="eastAsia" w:ascii="楷体_GB2312" w:hAnsi="宋体" w:eastAsia="楷体_GB2312"/>
                <w:color w:val="auto"/>
                <w:sz w:val="24"/>
              </w:rPr>
              <w:t>经济管理类、理学类等专业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工程数学</w:t>
            </w:r>
          </w:p>
        </w:tc>
        <w:tc>
          <w:tcPr>
            <w:tcW w:w="1528"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56</w:t>
            </w:r>
          </w:p>
        </w:tc>
        <w:tc>
          <w:tcPr>
            <w:tcW w:w="154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3.5</w:t>
            </w:r>
          </w:p>
        </w:tc>
        <w:tc>
          <w:tcPr>
            <w:tcW w:w="15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2101" w:type="dxa"/>
            <w:vAlign w:val="center"/>
          </w:tcPr>
          <w:p>
            <w:pPr>
              <w:rPr>
                <w:rFonts w:ascii="楷体_GB2312" w:hAnsi="宋体" w:eastAsia="楷体_GB2312"/>
                <w:color w:val="auto"/>
                <w:sz w:val="24"/>
              </w:rPr>
            </w:pPr>
            <w:r>
              <w:rPr>
                <w:rFonts w:hint="eastAsia" w:ascii="楷体_GB2312" w:hAnsi="宋体" w:eastAsia="楷体_GB2312"/>
                <w:color w:val="auto"/>
                <w:sz w:val="24"/>
              </w:rPr>
              <w:t>工学类各专业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jc w:val="center"/>
              <w:rPr>
                <w:rFonts w:ascii="楷体_GB2312" w:hAnsi="宋体" w:eastAsia="楷体_GB2312"/>
                <w:color w:val="auto"/>
                <w:sz w:val="24"/>
              </w:rPr>
            </w:pPr>
            <w:r>
              <w:rPr>
                <w:rFonts w:hint="eastAsia" w:ascii="楷体_GB2312" w:hAnsi="宋体" w:eastAsia="楷体_GB2312"/>
                <w:color w:val="auto"/>
                <w:sz w:val="24"/>
              </w:rPr>
              <w:t>概率论与数理统计A</w:t>
            </w:r>
          </w:p>
        </w:tc>
        <w:tc>
          <w:tcPr>
            <w:tcW w:w="1528"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48</w:t>
            </w:r>
          </w:p>
        </w:tc>
        <w:tc>
          <w:tcPr>
            <w:tcW w:w="154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15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w:t>
            </w:r>
          </w:p>
        </w:tc>
        <w:tc>
          <w:tcPr>
            <w:tcW w:w="2101" w:type="dxa"/>
            <w:vAlign w:val="center"/>
          </w:tcPr>
          <w:p>
            <w:pPr>
              <w:spacing w:line="300" w:lineRule="auto"/>
              <w:rPr>
                <w:rFonts w:ascii="楷体_GB2312" w:hAnsi="宋体" w:eastAsia="楷体_GB2312"/>
                <w:color w:val="auto"/>
                <w:spacing w:val="-6"/>
                <w:sz w:val="24"/>
              </w:rPr>
            </w:pPr>
            <w:r>
              <w:rPr>
                <w:rFonts w:hint="eastAsia" w:ascii="楷体_GB2312" w:hAnsi="宋体" w:eastAsia="楷体_GB2312"/>
                <w:color w:val="auto"/>
                <w:spacing w:val="-6"/>
                <w:sz w:val="24"/>
              </w:rPr>
              <w:t>理工类专业自选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jc w:val="center"/>
              <w:rPr>
                <w:rFonts w:ascii="楷体_GB2312" w:hAnsi="宋体" w:eastAsia="楷体_GB2312"/>
                <w:color w:val="auto"/>
                <w:sz w:val="24"/>
              </w:rPr>
            </w:pPr>
            <w:r>
              <w:rPr>
                <w:rFonts w:hint="eastAsia" w:ascii="楷体_GB2312" w:hAnsi="宋体" w:eastAsia="楷体_GB2312"/>
                <w:color w:val="auto"/>
                <w:sz w:val="24"/>
              </w:rPr>
              <w:t>概率论与数理统计B</w:t>
            </w:r>
          </w:p>
        </w:tc>
        <w:tc>
          <w:tcPr>
            <w:tcW w:w="1528"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48</w:t>
            </w:r>
          </w:p>
        </w:tc>
        <w:tc>
          <w:tcPr>
            <w:tcW w:w="154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15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2101" w:type="dxa"/>
            <w:vAlign w:val="center"/>
          </w:tcPr>
          <w:p>
            <w:pPr>
              <w:rPr>
                <w:rFonts w:ascii="楷体_GB2312" w:hAnsi="宋体" w:eastAsia="楷体_GB2312"/>
                <w:color w:val="auto"/>
                <w:sz w:val="24"/>
              </w:rPr>
            </w:pPr>
            <w:r>
              <w:rPr>
                <w:rFonts w:hint="eastAsia" w:ascii="楷体_GB2312" w:hAnsi="宋体" w:eastAsia="楷体_GB2312"/>
                <w:color w:val="auto"/>
                <w:sz w:val="24"/>
              </w:rPr>
              <w:t>经济管理类专业</w:t>
            </w:r>
            <w:r>
              <w:rPr>
                <w:rFonts w:hint="eastAsia" w:ascii="楷体_GB2312" w:hAnsi="宋体" w:eastAsia="楷体_GB2312"/>
                <w:color w:val="auto"/>
                <w:spacing w:val="-6"/>
                <w:sz w:val="24"/>
              </w:rPr>
              <w:t>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线性代数A</w:t>
            </w:r>
          </w:p>
        </w:tc>
        <w:tc>
          <w:tcPr>
            <w:tcW w:w="1528"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40</w:t>
            </w:r>
          </w:p>
        </w:tc>
        <w:tc>
          <w:tcPr>
            <w:tcW w:w="154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2.5</w:t>
            </w:r>
          </w:p>
        </w:tc>
        <w:tc>
          <w:tcPr>
            <w:tcW w:w="15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w:t>
            </w:r>
          </w:p>
        </w:tc>
        <w:tc>
          <w:tcPr>
            <w:tcW w:w="2101" w:type="dxa"/>
            <w:vAlign w:val="center"/>
          </w:tcPr>
          <w:p>
            <w:pPr>
              <w:spacing w:line="300" w:lineRule="auto"/>
              <w:rPr>
                <w:rFonts w:ascii="楷体_GB2312" w:hAnsi="宋体" w:eastAsia="楷体_GB2312"/>
                <w:color w:val="auto"/>
                <w:spacing w:val="-6"/>
                <w:sz w:val="24"/>
              </w:rPr>
            </w:pPr>
            <w:r>
              <w:rPr>
                <w:rFonts w:hint="eastAsia" w:ascii="楷体_GB2312" w:hAnsi="宋体" w:eastAsia="楷体_GB2312"/>
                <w:color w:val="auto"/>
                <w:spacing w:val="-6"/>
                <w:sz w:val="24"/>
              </w:rPr>
              <w:t>工学类各专业自选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线性代数B</w:t>
            </w:r>
          </w:p>
        </w:tc>
        <w:tc>
          <w:tcPr>
            <w:tcW w:w="1528"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154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15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2101" w:type="dxa"/>
            <w:vAlign w:val="center"/>
          </w:tcPr>
          <w:p>
            <w:pPr>
              <w:rPr>
                <w:rFonts w:ascii="楷体_GB2312" w:hAnsi="宋体" w:eastAsia="楷体_GB2312"/>
                <w:color w:val="auto"/>
                <w:sz w:val="24"/>
              </w:rPr>
            </w:pPr>
            <w:r>
              <w:rPr>
                <w:rFonts w:hint="eastAsia" w:ascii="楷体_GB2312" w:hAnsi="宋体" w:eastAsia="楷体_GB2312"/>
                <w:color w:val="auto"/>
                <w:sz w:val="24"/>
              </w:rPr>
              <w:t>经济管理类专业</w:t>
            </w:r>
            <w:r>
              <w:rPr>
                <w:rFonts w:hint="eastAsia" w:ascii="楷体_GB2312" w:hAnsi="宋体" w:eastAsia="楷体_GB2312"/>
                <w:color w:val="auto"/>
                <w:spacing w:val="-6"/>
                <w:sz w:val="24"/>
              </w:rPr>
              <w:t>自选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bCs/>
                <w:color w:val="auto"/>
                <w:sz w:val="24"/>
              </w:rPr>
              <w:t>实务英语（一）</w:t>
            </w:r>
          </w:p>
        </w:tc>
        <w:tc>
          <w:tcPr>
            <w:tcW w:w="1528"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32</w:t>
            </w:r>
          </w:p>
        </w:tc>
        <w:tc>
          <w:tcPr>
            <w:tcW w:w="1541"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2</w:t>
            </w:r>
          </w:p>
        </w:tc>
        <w:tc>
          <w:tcPr>
            <w:tcW w:w="1596"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3</w:t>
            </w:r>
          </w:p>
        </w:tc>
        <w:tc>
          <w:tcPr>
            <w:tcW w:w="2101" w:type="dxa"/>
            <w:vAlign w:val="center"/>
          </w:tcPr>
          <w:p>
            <w:pP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bCs/>
                <w:color w:val="auto"/>
                <w:sz w:val="24"/>
              </w:rPr>
              <w:t>实务英语（二）</w:t>
            </w:r>
          </w:p>
        </w:tc>
        <w:tc>
          <w:tcPr>
            <w:tcW w:w="1528"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32</w:t>
            </w:r>
          </w:p>
        </w:tc>
        <w:tc>
          <w:tcPr>
            <w:tcW w:w="1541"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2</w:t>
            </w:r>
          </w:p>
        </w:tc>
        <w:tc>
          <w:tcPr>
            <w:tcW w:w="1596"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4</w:t>
            </w:r>
          </w:p>
        </w:tc>
        <w:tc>
          <w:tcPr>
            <w:tcW w:w="2101" w:type="dxa"/>
            <w:vAlign w:val="center"/>
          </w:tcPr>
          <w:p>
            <w:pP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楷体_GB2312" w:eastAsia="楷体_GB2312" w:cs="楷体_GB2312"/>
                <w:bCs/>
                <w:color w:val="auto"/>
                <w:sz w:val="24"/>
              </w:rPr>
            </w:pPr>
            <w:r>
              <w:rPr>
                <w:rFonts w:hint="eastAsia" w:ascii="楷体_GB2312" w:hAnsi="楷体_GB2312" w:eastAsia="楷体_GB2312" w:cs="楷体_GB2312"/>
                <w:bCs/>
                <w:color w:val="auto"/>
                <w:sz w:val="24"/>
              </w:rPr>
              <w:t>Visual Basic</w:t>
            </w:r>
          </w:p>
        </w:tc>
        <w:tc>
          <w:tcPr>
            <w:tcW w:w="1528"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64</w:t>
            </w:r>
          </w:p>
        </w:tc>
        <w:tc>
          <w:tcPr>
            <w:tcW w:w="1541"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4</w:t>
            </w:r>
          </w:p>
        </w:tc>
        <w:tc>
          <w:tcPr>
            <w:tcW w:w="1596"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4</w:t>
            </w:r>
          </w:p>
        </w:tc>
        <w:tc>
          <w:tcPr>
            <w:tcW w:w="2101" w:type="dxa"/>
            <w:vAlign w:val="center"/>
          </w:tcPr>
          <w:p>
            <w:pP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0" w:hRule="atLeast"/>
          <w:jc w:val="center"/>
        </w:trPr>
        <w:tc>
          <w:tcPr>
            <w:tcW w:w="3001" w:type="dxa"/>
            <w:vAlign w:val="center"/>
          </w:tcPr>
          <w:p>
            <w:pPr>
              <w:spacing w:line="300" w:lineRule="auto"/>
              <w:jc w:val="center"/>
              <w:rPr>
                <w:rFonts w:ascii="楷体_GB2312" w:hAnsi="楷体_GB2312" w:eastAsia="楷体_GB2312" w:cs="楷体_GB2312"/>
                <w:bCs/>
                <w:color w:val="auto"/>
                <w:sz w:val="24"/>
              </w:rPr>
            </w:pPr>
            <w:r>
              <w:rPr>
                <w:rFonts w:hint="eastAsia" w:ascii="楷体_GB2312" w:hAnsi="楷体_GB2312" w:eastAsia="楷体_GB2312" w:cs="楷体_GB2312"/>
                <w:bCs/>
                <w:color w:val="auto"/>
                <w:sz w:val="24"/>
              </w:rPr>
              <w:t>Access 应用</w:t>
            </w:r>
          </w:p>
        </w:tc>
        <w:tc>
          <w:tcPr>
            <w:tcW w:w="1528"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64</w:t>
            </w:r>
          </w:p>
        </w:tc>
        <w:tc>
          <w:tcPr>
            <w:tcW w:w="1541"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4</w:t>
            </w:r>
          </w:p>
        </w:tc>
        <w:tc>
          <w:tcPr>
            <w:tcW w:w="1596" w:type="dxa"/>
            <w:vAlign w:val="center"/>
          </w:tcPr>
          <w:p>
            <w:pPr>
              <w:spacing w:line="300" w:lineRule="auto"/>
              <w:jc w:val="center"/>
              <w:rPr>
                <w:rFonts w:ascii="楷体_GB2312" w:hAnsi="楷体_GB2312" w:eastAsia="楷体_GB2312" w:cs="楷体_GB2312"/>
                <w:color w:val="auto"/>
                <w:sz w:val="24"/>
              </w:rPr>
            </w:pPr>
            <w:r>
              <w:rPr>
                <w:rFonts w:hint="eastAsia" w:ascii="楷体_GB2312" w:hAnsi="楷体_GB2312" w:eastAsia="楷体_GB2312" w:cs="楷体_GB2312"/>
                <w:color w:val="auto"/>
                <w:sz w:val="24"/>
              </w:rPr>
              <w:t>2</w:t>
            </w:r>
          </w:p>
        </w:tc>
        <w:tc>
          <w:tcPr>
            <w:tcW w:w="2101" w:type="dxa"/>
            <w:vAlign w:val="center"/>
          </w:tcPr>
          <w:p>
            <w:pPr>
              <w:rPr>
                <w:rFonts w:ascii="楷体_GB2312" w:hAnsi="宋体" w:eastAsia="楷体_GB2312"/>
                <w:color w:val="auto"/>
                <w:sz w:val="24"/>
              </w:rPr>
            </w:pPr>
          </w:p>
        </w:tc>
      </w:tr>
    </w:tbl>
    <w:p>
      <w:pPr>
        <w:pStyle w:val="5"/>
        <w:keepNext w:val="0"/>
        <w:keepLines w:val="0"/>
        <w:pageBreakBefore w:val="0"/>
        <w:widowControl w:val="0"/>
        <w:kinsoku/>
        <w:wordWrap/>
        <w:overflowPunct/>
        <w:topLinePunct w:val="0"/>
        <w:autoSpaceDE/>
        <w:autoSpaceDN/>
        <w:bidi w:val="0"/>
        <w:adjustRightInd/>
        <w:snapToGrid/>
        <w:spacing w:before="313" w:beforeLines="100" w:after="157" w:afterLines="50" w:line="240" w:lineRule="auto"/>
        <w:ind w:left="0" w:leftChars="0" w:right="0" w:rightChars="0" w:firstLine="420" w:firstLineChars="0"/>
        <w:jc w:val="both"/>
        <w:textAlignment w:val="auto"/>
        <w:outlineLvl w:val="9"/>
        <w:rPr>
          <w:rFonts w:hAnsi="宋体"/>
          <w:bCs/>
          <w:color w:val="auto"/>
          <w:sz w:val="24"/>
        </w:rPr>
      </w:pPr>
      <w:r>
        <w:rPr>
          <w:rFonts w:hint="eastAsia"/>
          <w:bCs/>
          <w:color w:val="auto"/>
          <w:sz w:val="24"/>
        </w:rPr>
        <w:t>3</w:t>
      </w:r>
      <w:r>
        <w:rPr>
          <w:rFonts w:hint="eastAsia" w:hAnsi="宋体"/>
          <w:bCs/>
          <w:color w:val="auto"/>
          <w:sz w:val="24"/>
        </w:rPr>
        <w:t>、</w:t>
      </w:r>
      <w:r>
        <w:rPr>
          <w:rFonts w:hint="eastAsia"/>
          <w:bCs/>
          <w:color w:val="auto"/>
          <w:spacing w:val="6"/>
          <w:sz w:val="24"/>
        </w:rPr>
        <w:t>创新创业模块学时、安排学分分配和具体方案安排（至少修4学分）</w:t>
      </w:r>
    </w:p>
    <w:tbl>
      <w:tblPr>
        <w:tblStyle w:val="11"/>
        <w:tblW w:w="990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6"/>
        <w:gridCol w:w="851"/>
        <w:gridCol w:w="886"/>
        <w:gridCol w:w="873"/>
        <w:gridCol w:w="1896"/>
        <w:gridCol w:w="29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247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课 程 名 称</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学 时</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学 分</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 xml:space="preserve">学 期        </w:t>
            </w:r>
          </w:p>
        </w:tc>
        <w:tc>
          <w:tcPr>
            <w:tcW w:w="1896" w:type="dxa"/>
            <w:vAlign w:val="center"/>
          </w:tcPr>
          <w:p>
            <w:pPr>
              <w:spacing w:line="300" w:lineRule="auto"/>
              <w:jc w:val="center"/>
              <w:rPr>
                <w:rFonts w:ascii="楷体_GB2312" w:eastAsia="楷体_GB2312"/>
                <w:color w:val="auto"/>
                <w:sz w:val="24"/>
              </w:rPr>
            </w:pPr>
            <w:r>
              <w:rPr>
                <w:rFonts w:hint="eastAsia" w:ascii="楷体_GB2312" w:hAnsi="宋体" w:eastAsia="楷体_GB2312"/>
                <w:color w:val="auto"/>
                <w:sz w:val="24"/>
              </w:rPr>
              <w:t>适宜开课专业</w:t>
            </w:r>
          </w:p>
        </w:tc>
        <w:tc>
          <w:tcPr>
            <w:tcW w:w="2921"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2476" w:type="dxa"/>
            <w:vAlign w:val="center"/>
          </w:tcPr>
          <w:p>
            <w:pPr>
              <w:jc w:val="center"/>
              <w:rPr>
                <w:rFonts w:ascii="楷体_GB2312" w:hAnsi="宋体" w:eastAsia="楷体_GB2312"/>
                <w:color w:val="auto"/>
                <w:spacing w:val="20"/>
                <w:sz w:val="24"/>
              </w:rPr>
            </w:pPr>
            <w:r>
              <w:rPr>
                <w:rFonts w:hint="eastAsia" w:ascii="楷体_GB2312" w:hAnsi="宋体" w:eastAsia="楷体_GB2312"/>
                <w:color w:val="auto"/>
                <w:spacing w:val="20"/>
                <w:sz w:val="24"/>
              </w:rPr>
              <w:t>大学生职业生涯</w:t>
            </w:r>
          </w:p>
          <w:p>
            <w:pPr>
              <w:jc w:val="center"/>
              <w:rPr>
                <w:rFonts w:ascii="楷体_GB2312" w:eastAsia="楷体_GB2312"/>
                <w:color w:val="auto"/>
                <w:sz w:val="24"/>
              </w:rPr>
            </w:pPr>
            <w:r>
              <w:rPr>
                <w:rFonts w:hint="eastAsia" w:ascii="楷体_GB2312" w:hAnsi="宋体" w:eastAsia="楷体_GB2312"/>
                <w:color w:val="auto"/>
                <w:spacing w:val="20"/>
                <w:sz w:val="24"/>
              </w:rPr>
              <w:t>规划管理</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16</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0</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p>
        </w:tc>
        <w:tc>
          <w:tcPr>
            <w:tcW w:w="18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各专业</w:t>
            </w:r>
          </w:p>
        </w:tc>
        <w:tc>
          <w:tcPr>
            <w:tcW w:w="2921"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8" w:hRule="atLeast"/>
          <w:tblHeader/>
          <w:jc w:val="center"/>
        </w:trPr>
        <w:tc>
          <w:tcPr>
            <w:tcW w:w="2476" w:type="dxa"/>
            <w:vAlign w:val="center"/>
          </w:tcPr>
          <w:p>
            <w:pPr>
              <w:jc w:val="center"/>
              <w:rPr>
                <w:rFonts w:ascii="楷体_GB2312" w:hAnsi="宋体" w:eastAsia="楷体_GB2312"/>
                <w:color w:val="auto"/>
                <w:sz w:val="24"/>
              </w:rPr>
            </w:pPr>
            <w:r>
              <w:rPr>
                <w:rFonts w:hint="eastAsia" w:ascii="楷体_GB2312" w:hAnsi="宋体" w:eastAsia="楷体_GB2312"/>
                <w:color w:val="auto"/>
                <w:spacing w:val="20"/>
                <w:sz w:val="24"/>
              </w:rPr>
              <w:t>大学生就业指导</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16</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0</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6</w:t>
            </w:r>
          </w:p>
        </w:tc>
        <w:tc>
          <w:tcPr>
            <w:tcW w:w="189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各专业</w:t>
            </w:r>
          </w:p>
        </w:tc>
        <w:tc>
          <w:tcPr>
            <w:tcW w:w="2921"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创意与创新</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lang w:val="en-US" w:eastAsia="zh-CN"/>
              </w:rPr>
              <w:t>1-</w:t>
            </w:r>
            <w:r>
              <w:rPr>
                <w:rFonts w:hint="eastAsia" w:ascii="楷体_GB2312" w:eastAsia="楷体_GB2312"/>
                <w:color w:val="auto"/>
                <w:sz w:val="24"/>
              </w:rPr>
              <w:t>2</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创意实作</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restart"/>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自选</w:t>
            </w:r>
            <w:r>
              <w:rPr>
                <w:rFonts w:hint="eastAsia" w:ascii="楷体_GB2312" w:hAnsi="宋体" w:eastAsia="楷体_GB2312"/>
                <w:color w:val="auto"/>
                <w:sz w:val="24"/>
                <w:lang w:val="en-US" w:eastAsia="zh-CN"/>
              </w:rPr>
              <w:t>1门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文化创新</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pStyle w:val="5"/>
              <w:spacing w:line="300" w:lineRule="auto"/>
              <w:ind w:firstLine="0" w:firstLineChars="0"/>
              <w:jc w:val="center"/>
              <w:rPr>
                <w:color w:val="auto"/>
                <w:sz w:val="24"/>
              </w:rPr>
            </w:pPr>
            <w:r>
              <w:rPr>
                <w:rFonts w:hint="eastAsia"/>
                <w:color w:val="auto"/>
                <w:sz w:val="24"/>
              </w:rPr>
              <w:t>创业管理</w:t>
            </w:r>
          </w:p>
        </w:tc>
        <w:tc>
          <w:tcPr>
            <w:tcW w:w="851" w:type="dxa"/>
            <w:vAlign w:val="center"/>
          </w:tcPr>
          <w:p>
            <w:pPr>
              <w:pStyle w:val="5"/>
              <w:spacing w:line="300" w:lineRule="auto"/>
              <w:ind w:firstLine="0" w:firstLineChars="0"/>
              <w:jc w:val="center"/>
              <w:rPr>
                <w:color w:val="auto"/>
                <w:sz w:val="24"/>
              </w:rPr>
            </w:pPr>
            <w:r>
              <w:rPr>
                <w:rFonts w:hint="eastAsia"/>
                <w:color w:val="auto"/>
                <w:sz w:val="24"/>
              </w:rPr>
              <w:t>32</w:t>
            </w:r>
          </w:p>
        </w:tc>
        <w:tc>
          <w:tcPr>
            <w:tcW w:w="886" w:type="dxa"/>
            <w:vAlign w:val="center"/>
          </w:tcPr>
          <w:p>
            <w:pPr>
              <w:pStyle w:val="5"/>
              <w:spacing w:line="300" w:lineRule="auto"/>
              <w:ind w:firstLine="0" w:firstLineChars="0"/>
              <w:jc w:val="center"/>
              <w:rPr>
                <w:color w:val="auto"/>
                <w:sz w:val="24"/>
              </w:rPr>
            </w:pPr>
            <w:r>
              <w:rPr>
                <w:rFonts w:hint="eastAsia"/>
                <w:color w:val="auto"/>
                <w:sz w:val="24"/>
              </w:rPr>
              <w:t>2</w:t>
            </w:r>
          </w:p>
        </w:tc>
        <w:tc>
          <w:tcPr>
            <w:tcW w:w="873" w:type="dxa"/>
            <w:vAlign w:val="center"/>
          </w:tcPr>
          <w:p>
            <w:pPr>
              <w:pStyle w:val="5"/>
              <w:spacing w:line="300" w:lineRule="auto"/>
              <w:ind w:firstLine="0" w:firstLineChars="0"/>
              <w:jc w:val="center"/>
              <w:rPr>
                <w:color w:val="auto"/>
                <w:sz w:val="24"/>
              </w:rPr>
            </w:pPr>
            <w:r>
              <w:rPr>
                <w:rFonts w:hint="eastAsia"/>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pStyle w:val="5"/>
              <w:spacing w:line="300" w:lineRule="auto"/>
              <w:ind w:firstLine="0" w:firstLineChars="0"/>
              <w:jc w:val="center"/>
              <w:rPr>
                <w:color w:val="auto"/>
                <w:sz w:val="24"/>
              </w:rPr>
            </w:pPr>
            <w:r>
              <w:rPr>
                <w:rFonts w:hint="eastAsia"/>
                <w:color w:val="auto"/>
                <w:sz w:val="24"/>
              </w:rPr>
              <w:t>创业金融</w:t>
            </w:r>
          </w:p>
        </w:tc>
        <w:tc>
          <w:tcPr>
            <w:tcW w:w="851" w:type="dxa"/>
            <w:vAlign w:val="center"/>
          </w:tcPr>
          <w:p>
            <w:pPr>
              <w:pStyle w:val="5"/>
              <w:spacing w:line="300" w:lineRule="auto"/>
              <w:ind w:firstLine="0" w:firstLineChars="0"/>
              <w:jc w:val="center"/>
              <w:rPr>
                <w:color w:val="auto"/>
                <w:sz w:val="24"/>
              </w:rPr>
            </w:pPr>
            <w:r>
              <w:rPr>
                <w:rFonts w:hint="eastAsia"/>
                <w:color w:val="auto"/>
                <w:sz w:val="24"/>
              </w:rPr>
              <w:t>32</w:t>
            </w:r>
          </w:p>
        </w:tc>
        <w:tc>
          <w:tcPr>
            <w:tcW w:w="886" w:type="dxa"/>
            <w:vAlign w:val="center"/>
          </w:tcPr>
          <w:p>
            <w:pPr>
              <w:pStyle w:val="5"/>
              <w:spacing w:line="300" w:lineRule="auto"/>
              <w:ind w:firstLine="0" w:firstLineChars="0"/>
              <w:jc w:val="center"/>
              <w:rPr>
                <w:color w:val="auto"/>
                <w:sz w:val="24"/>
              </w:rPr>
            </w:pPr>
            <w:r>
              <w:rPr>
                <w:rFonts w:hint="eastAsia"/>
                <w:color w:val="auto"/>
                <w:sz w:val="24"/>
              </w:rPr>
              <w:t>2</w:t>
            </w:r>
          </w:p>
        </w:tc>
        <w:tc>
          <w:tcPr>
            <w:tcW w:w="873" w:type="dxa"/>
            <w:vAlign w:val="center"/>
          </w:tcPr>
          <w:p>
            <w:pPr>
              <w:pStyle w:val="5"/>
              <w:spacing w:line="300" w:lineRule="auto"/>
              <w:ind w:firstLine="0" w:firstLineChars="0"/>
              <w:jc w:val="center"/>
              <w:rPr>
                <w:color w:val="auto"/>
                <w:sz w:val="24"/>
              </w:rPr>
            </w:pPr>
            <w:r>
              <w:rPr>
                <w:rFonts w:hint="eastAsia"/>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pStyle w:val="5"/>
              <w:spacing w:line="300" w:lineRule="auto"/>
              <w:ind w:firstLine="0" w:firstLineChars="0"/>
              <w:jc w:val="center"/>
              <w:rPr>
                <w:color w:val="auto"/>
                <w:sz w:val="24"/>
              </w:rPr>
            </w:pPr>
            <w:r>
              <w:rPr>
                <w:rFonts w:hint="eastAsia"/>
                <w:color w:val="auto"/>
                <w:sz w:val="24"/>
              </w:rPr>
              <w:t>创业营销</w:t>
            </w:r>
          </w:p>
        </w:tc>
        <w:tc>
          <w:tcPr>
            <w:tcW w:w="851" w:type="dxa"/>
            <w:vAlign w:val="center"/>
          </w:tcPr>
          <w:p>
            <w:pPr>
              <w:spacing w:line="300" w:lineRule="auto"/>
              <w:jc w:val="center"/>
              <w:rPr>
                <w:color w:val="auto"/>
                <w:sz w:val="24"/>
              </w:rPr>
            </w:pPr>
            <w:r>
              <w:rPr>
                <w:rFonts w:hint="eastAsia" w:ascii="楷体_GB2312" w:eastAsia="楷体_GB2312"/>
                <w:color w:val="auto"/>
                <w:sz w:val="24"/>
              </w:rPr>
              <w:t>32</w:t>
            </w:r>
          </w:p>
        </w:tc>
        <w:tc>
          <w:tcPr>
            <w:tcW w:w="886" w:type="dxa"/>
            <w:vAlign w:val="center"/>
          </w:tcPr>
          <w:p>
            <w:pPr>
              <w:spacing w:line="300" w:lineRule="auto"/>
              <w:jc w:val="center"/>
              <w:rPr>
                <w:color w:val="auto"/>
                <w:sz w:val="24"/>
              </w:rPr>
            </w:pPr>
            <w:r>
              <w:rPr>
                <w:rFonts w:hint="eastAsia" w:ascii="楷体_GB2312" w:eastAsia="楷体_GB2312"/>
                <w:color w:val="auto"/>
                <w:sz w:val="24"/>
              </w:rPr>
              <w:t>2</w:t>
            </w:r>
          </w:p>
        </w:tc>
        <w:tc>
          <w:tcPr>
            <w:tcW w:w="873" w:type="dxa"/>
            <w:vAlign w:val="center"/>
          </w:tcPr>
          <w:p>
            <w:pPr>
              <w:pStyle w:val="5"/>
              <w:spacing w:line="300" w:lineRule="auto"/>
              <w:ind w:firstLine="0" w:firstLineChars="0"/>
              <w:jc w:val="center"/>
              <w:rPr>
                <w:color w:val="auto"/>
                <w:sz w:val="24"/>
              </w:rPr>
            </w:pPr>
            <w:r>
              <w:rPr>
                <w:rFonts w:hint="eastAsia"/>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pStyle w:val="5"/>
              <w:spacing w:line="300" w:lineRule="auto"/>
              <w:ind w:firstLine="0" w:firstLineChars="0"/>
              <w:jc w:val="center"/>
              <w:rPr>
                <w:color w:val="auto"/>
                <w:sz w:val="24"/>
              </w:rPr>
            </w:pPr>
            <w:r>
              <w:rPr>
                <w:rFonts w:hint="eastAsia"/>
                <w:color w:val="auto"/>
                <w:sz w:val="24"/>
              </w:rPr>
              <w:t>创业讲座</w:t>
            </w:r>
          </w:p>
        </w:tc>
        <w:tc>
          <w:tcPr>
            <w:tcW w:w="851" w:type="dxa"/>
            <w:vAlign w:val="center"/>
          </w:tcPr>
          <w:p>
            <w:pPr>
              <w:pStyle w:val="5"/>
              <w:spacing w:line="300" w:lineRule="auto"/>
              <w:ind w:firstLine="0" w:firstLineChars="0"/>
              <w:jc w:val="center"/>
              <w:rPr>
                <w:color w:val="auto"/>
                <w:sz w:val="24"/>
              </w:rPr>
            </w:pPr>
            <w:r>
              <w:rPr>
                <w:rFonts w:hint="eastAsia"/>
                <w:color w:val="auto"/>
                <w:sz w:val="24"/>
              </w:rPr>
              <w:t>32</w:t>
            </w:r>
          </w:p>
        </w:tc>
        <w:tc>
          <w:tcPr>
            <w:tcW w:w="886" w:type="dxa"/>
            <w:vAlign w:val="center"/>
          </w:tcPr>
          <w:p>
            <w:pPr>
              <w:pStyle w:val="5"/>
              <w:spacing w:line="300" w:lineRule="auto"/>
              <w:ind w:firstLine="0" w:firstLineChars="0"/>
              <w:jc w:val="center"/>
              <w:rPr>
                <w:color w:val="auto"/>
                <w:sz w:val="24"/>
              </w:rPr>
            </w:pPr>
            <w:r>
              <w:rPr>
                <w:rFonts w:hint="eastAsia"/>
                <w:color w:val="auto"/>
                <w:sz w:val="24"/>
              </w:rPr>
              <w:t>2</w:t>
            </w:r>
          </w:p>
        </w:tc>
        <w:tc>
          <w:tcPr>
            <w:tcW w:w="873" w:type="dxa"/>
            <w:vAlign w:val="center"/>
          </w:tcPr>
          <w:p>
            <w:pPr>
              <w:pStyle w:val="5"/>
              <w:spacing w:line="300" w:lineRule="auto"/>
              <w:ind w:firstLine="0" w:firstLineChars="0"/>
              <w:jc w:val="center"/>
              <w:rPr>
                <w:color w:val="auto"/>
                <w:sz w:val="24"/>
              </w:rPr>
            </w:pPr>
            <w:r>
              <w:rPr>
                <w:rFonts w:hint="eastAsia"/>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pStyle w:val="5"/>
              <w:spacing w:line="300" w:lineRule="auto"/>
              <w:ind w:firstLine="0" w:firstLineChars="0"/>
              <w:jc w:val="center"/>
              <w:rPr>
                <w:color w:val="auto"/>
                <w:sz w:val="24"/>
              </w:rPr>
            </w:pPr>
            <w:r>
              <w:rPr>
                <w:rFonts w:hint="eastAsia"/>
                <w:color w:val="auto"/>
                <w:sz w:val="24"/>
              </w:rPr>
              <w:t>创业试验</w:t>
            </w:r>
          </w:p>
        </w:tc>
        <w:tc>
          <w:tcPr>
            <w:tcW w:w="851" w:type="dxa"/>
            <w:vAlign w:val="center"/>
          </w:tcPr>
          <w:p>
            <w:pPr>
              <w:pStyle w:val="5"/>
              <w:spacing w:line="300" w:lineRule="auto"/>
              <w:ind w:firstLine="0" w:firstLineChars="0"/>
              <w:jc w:val="center"/>
              <w:rPr>
                <w:color w:val="auto"/>
                <w:sz w:val="24"/>
              </w:rPr>
            </w:pPr>
            <w:r>
              <w:rPr>
                <w:rFonts w:hint="eastAsia"/>
                <w:color w:val="auto"/>
                <w:sz w:val="24"/>
              </w:rPr>
              <w:t>32</w:t>
            </w:r>
          </w:p>
        </w:tc>
        <w:tc>
          <w:tcPr>
            <w:tcW w:w="886" w:type="dxa"/>
            <w:vAlign w:val="center"/>
          </w:tcPr>
          <w:p>
            <w:pPr>
              <w:pStyle w:val="5"/>
              <w:spacing w:line="300" w:lineRule="auto"/>
              <w:ind w:firstLine="0" w:firstLineChars="0"/>
              <w:jc w:val="center"/>
              <w:rPr>
                <w:color w:val="auto"/>
                <w:sz w:val="24"/>
              </w:rPr>
            </w:pPr>
            <w:r>
              <w:rPr>
                <w:rFonts w:hint="eastAsia"/>
                <w:color w:val="auto"/>
                <w:sz w:val="24"/>
              </w:rPr>
              <w:t>2</w:t>
            </w:r>
          </w:p>
        </w:tc>
        <w:tc>
          <w:tcPr>
            <w:tcW w:w="873" w:type="dxa"/>
            <w:vAlign w:val="center"/>
          </w:tcPr>
          <w:p>
            <w:pPr>
              <w:pStyle w:val="5"/>
              <w:spacing w:line="300" w:lineRule="auto"/>
              <w:ind w:firstLine="0" w:firstLineChars="0"/>
              <w:jc w:val="center"/>
              <w:rPr>
                <w:color w:val="auto"/>
                <w:sz w:val="24"/>
              </w:rPr>
            </w:pPr>
            <w:r>
              <w:rPr>
                <w:rFonts w:hint="eastAsia"/>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设计思考</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0" w:hRule="atLeast"/>
          <w:jc w:val="center"/>
        </w:trPr>
        <w:tc>
          <w:tcPr>
            <w:tcW w:w="247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科技创新</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服务创新</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6" w:hRule="atLeast"/>
          <w:jc w:val="center"/>
        </w:trPr>
        <w:tc>
          <w:tcPr>
            <w:tcW w:w="247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创新实作</w:t>
            </w:r>
          </w:p>
        </w:tc>
        <w:tc>
          <w:tcPr>
            <w:tcW w:w="851"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88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c>
          <w:tcPr>
            <w:tcW w:w="873"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不限</w:t>
            </w:r>
          </w:p>
        </w:tc>
        <w:tc>
          <w:tcPr>
            <w:tcW w:w="1896" w:type="dxa"/>
            <w:vAlign w:val="center"/>
          </w:tcPr>
          <w:p>
            <w:pPr>
              <w:spacing w:line="300" w:lineRule="auto"/>
              <w:jc w:val="center"/>
              <w:rPr>
                <w:rFonts w:ascii="楷体_GB2312" w:hAnsi="宋体" w:eastAsia="楷体_GB2312"/>
                <w:color w:val="auto"/>
                <w:sz w:val="24"/>
              </w:rPr>
            </w:pPr>
            <w:r>
              <w:rPr>
                <w:rFonts w:hint="eastAsia" w:ascii="楷体_GB2312" w:hAnsi="宋体" w:eastAsia="楷体_GB2312"/>
                <w:color w:val="auto"/>
                <w:sz w:val="24"/>
              </w:rPr>
              <w:t>各专业</w:t>
            </w:r>
          </w:p>
        </w:tc>
        <w:tc>
          <w:tcPr>
            <w:tcW w:w="2921" w:type="dxa"/>
            <w:vMerge w:val="continue"/>
            <w:vAlign w:val="center"/>
          </w:tcPr>
          <w:p>
            <w:pPr>
              <w:spacing w:line="300" w:lineRule="auto"/>
              <w:jc w:val="center"/>
              <w:rPr>
                <w:rFonts w:ascii="楷体_GB2312" w:hAnsi="宋体" w:eastAsia="楷体_GB2312"/>
                <w:color w:val="auto"/>
                <w:sz w:val="24"/>
              </w:rPr>
            </w:pPr>
          </w:p>
        </w:tc>
      </w:tr>
    </w:tbl>
    <w:p>
      <w:pPr>
        <w:pStyle w:val="5"/>
        <w:spacing w:line="300" w:lineRule="auto"/>
        <w:ind w:firstLineChars="0"/>
        <w:rPr>
          <w:rFonts w:hAnsi="宋体"/>
          <w:bCs/>
          <w:color w:val="auto"/>
          <w:szCs w:val="21"/>
        </w:rPr>
      </w:pPr>
      <w:r>
        <w:rPr>
          <w:rFonts w:hint="eastAsia" w:hAnsi="宋体"/>
          <w:bCs/>
          <w:color w:val="auto"/>
          <w:szCs w:val="21"/>
        </w:rPr>
        <w:t>注:创意创新模块课程各系可自行开课。</w:t>
      </w:r>
    </w:p>
    <w:p>
      <w:pPr>
        <w:pStyle w:val="5"/>
        <w:spacing w:beforeLines="50" w:afterLines="50" w:line="240" w:lineRule="auto"/>
        <w:ind w:firstLine="0" w:firstLineChars="0"/>
        <w:rPr>
          <w:bCs/>
          <w:color w:val="auto"/>
          <w:spacing w:val="6"/>
          <w:sz w:val="24"/>
        </w:rPr>
      </w:pPr>
      <w:r>
        <w:rPr>
          <w:rFonts w:hint="eastAsia"/>
          <w:bCs/>
          <w:color w:val="auto"/>
          <w:spacing w:val="6"/>
          <w:sz w:val="24"/>
        </w:rPr>
        <w:t xml:space="preserve">    4、素质通识</w:t>
      </w:r>
      <w:r>
        <w:rPr>
          <w:rFonts w:hint="eastAsia" w:hAnsi="宋体"/>
          <w:bCs/>
          <w:color w:val="auto"/>
          <w:sz w:val="24"/>
        </w:rPr>
        <w:t>模块</w:t>
      </w:r>
      <w:r>
        <w:rPr>
          <w:rFonts w:hint="eastAsia"/>
          <w:bCs/>
          <w:color w:val="auto"/>
          <w:spacing w:val="6"/>
          <w:sz w:val="24"/>
        </w:rPr>
        <w:t>学时、安排学分分配和具体方案安排（至少选修8学分）</w:t>
      </w:r>
    </w:p>
    <w:tbl>
      <w:tblPr>
        <w:tblStyle w:val="11"/>
        <w:tblW w:w="9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2"/>
        <w:gridCol w:w="2114"/>
        <w:gridCol w:w="2026"/>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blHeader/>
          <w:jc w:val="center"/>
        </w:trPr>
        <w:tc>
          <w:tcPr>
            <w:tcW w:w="3562" w:type="dxa"/>
            <w:vAlign w:val="center"/>
          </w:tcPr>
          <w:p>
            <w:pPr>
              <w:spacing w:line="300" w:lineRule="auto"/>
              <w:jc w:val="center"/>
              <w:rPr>
                <w:rFonts w:ascii="楷体_GB2312" w:hAnsi="宋体" w:eastAsia="楷体_GB2312"/>
                <w:b/>
                <w:color w:val="auto"/>
                <w:spacing w:val="20"/>
                <w:sz w:val="24"/>
              </w:rPr>
            </w:pPr>
            <w:r>
              <w:rPr>
                <w:rFonts w:hint="eastAsia" w:ascii="楷体_GB2312" w:eastAsia="楷体_GB2312"/>
                <w:color w:val="auto"/>
                <w:sz w:val="24"/>
              </w:rPr>
              <w:t>课 程 名 称</w:t>
            </w:r>
          </w:p>
        </w:tc>
        <w:tc>
          <w:tcPr>
            <w:tcW w:w="2114" w:type="dxa"/>
            <w:vAlign w:val="center"/>
          </w:tcPr>
          <w:p>
            <w:pPr>
              <w:spacing w:line="300" w:lineRule="auto"/>
              <w:jc w:val="center"/>
              <w:rPr>
                <w:rFonts w:ascii="楷体_GB2312" w:hAnsi="宋体" w:eastAsia="楷体_GB2312"/>
                <w:b/>
                <w:color w:val="auto"/>
                <w:spacing w:val="20"/>
                <w:sz w:val="24"/>
              </w:rPr>
            </w:pPr>
            <w:r>
              <w:rPr>
                <w:rFonts w:hint="eastAsia" w:ascii="楷体_GB2312" w:eastAsia="楷体_GB2312"/>
                <w:color w:val="auto"/>
                <w:sz w:val="24"/>
              </w:rPr>
              <w:t>学 时</w:t>
            </w:r>
          </w:p>
        </w:tc>
        <w:tc>
          <w:tcPr>
            <w:tcW w:w="2026" w:type="dxa"/>
            <w:vAlign w:val="center"/>
          </w:tcPr>
          <w:p>
            <w:pPr>
              <w:spacing w:line="300" w:lineRule="auto"/>
              <w:jc w:val="center"/>
              <w:rPr>
                <w:rFonts w:ascii="楷体_GB2312" w:hAnsi="宋体" w:eastAsia="楷体_GB2312"/>
                <w:b/>
                <w:color w:val="auto"/>
                <w:spacing w:val="20"/>
                <w:sz w:val="24"/>
              </w:rPr>
            </w:pPr>
            <w:r>
              <w:rPr>
                <w:rFonts w:hint="eastAsia" w:ascii="楷体_GB2312" w:eastAsia="楷体_GB2312"/>
                <w:color w:val="auto"/>
                <w:sz w:val="24"/>
              </w:rPr>
              <w:t>学 分</w:t>
            </w:r>
          </w:p>
        </w:tc>
        <w:tc>
          <w:tcPr>
            <w:tcW w:w="1950" w:type="dxa"/>
            <w:vAlign w:val="center"/>
          </w:tcPr>
          <w:p>
            <w:pPr>
              <w:spacing w:line="300" w:lineRule="auto"/>
              <w:jc w:val="center"/>
              <w:rPr>
                <w:rFonts w:ascii="楷体_GB2312" w:hAnsi="宋体" w:eastAsia="楷体_GB2312"/>
                <w:b/>
                <w:color w:val="auto"/>
                <w:spacing w:val="20"/>
                <w:sz w:val="24"/>
              </w:rPr>
            </w:pPr>
            <w:r>
              <w:rPr>
                <w:rFonts w:hint="eastAsia" w:ascii="楷体_GB2312" w:eastAsia="楷体_GB2312"/>
                <w:color w:val="auto"/>
                <w:sz w:val="24"/>
              </w:rPr>
              <w:t xml:space="preserve">学 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3562" w:type="dxa"/>
            <w:vAlign w:val="center"/>
          </w:tcPr>
          <w:p>
            <w:pPr>
              <w:jc w:val="center"/>
              <w:rPr>
                <w:rFonts w:ascii="楷体_GB2312" w:eastAsia="楷体_GB2312"/>
                <w:color w:val="auto"/>
                <w:sz w:val="24"/>
              </w:rPr>
            </w:pPr>
            <w:r>
              <w:rPr>
                <w:rFonts w:hint="eastAsia" w:ascii="楷体_GB2312" w:eastAsia="楷体_GB2312"/>
                <w:color w:val="auto"/>
                <w:sz w:val="24"/>
                <w:lang w:val="en-US" w:eastAsia="zh-CN"/>
              </w:rPr>
              <w:t>*</w:t>
            </w:r>
            <w:r>
              <w:rPr>
                <w:rFonts w:hint="eastAsia" w:ascii="楷体_GB2312" w:eastAsia="楷体_GB2312"/>
                <w:color w:val="auto"/>
                <w:sz w:val="24"/>
              </w:rPr>
              <w:t>国学教育（必选</w:t>
            </w:r>
            <w:r>
              <w:rPr>
                <w:rFonts w:hint="eastAsia" w:ascii="楷体_GB2312" w:eastAsia="楷体_GB2312"/>
                <w:color w:val="auto"/>
                <w:sz w:val="24"/>
                <w:lang w:val="en-US" w:eastAsia="zh-CN"/>
              </w:rPr>
              <w:t>1门</w:t>
            </w:r>
            <w:r>
              <w:rPr>
                <w:rFonts w:hint="eastAsia" w:ascii="楷体_GB2312" w:eastAsia="楷体_GB2312"/>
                <w:color w:val="auto"/>
                <w:sz w:val="24"/>
              </w:rPr>
              <w:t>）</w:t>
            </w:r>
          </w:p>
        </w:tc>
        <w:tc>
          <w:tcPr>
            <w:tcW w:w="2114" w:type="dxa"/>
            <w:vAlign w:val="center"/>
          </w:tcPr>
          <w:p>
            <w:pPr>
              <w:spacing w:line="300" w:lineRule="auto"/>
              <w:jc w:val="center"/>
              <w:rPr>
                <w:rFonts w:hint="eastAsia" w:ascii="楷体_GB2312" w:eastAsia="楷体_GB2312"/>
                <w:color w:val="auto"/>
                <w:sz w:val="24"/>
                <w:lang w:eastAsia="zh-CN"/>
              </w:rPr>
            </w:pPr>
            <w:r>
              <w:rPr>
                <w:rFonts w:hint="eastAsia" w:ascii="楷体_GB2312" w:eastAsia="楷体_GB2312"/>
                <w:color w:val="auto"/>
                <w:sz w:val="24"/>
                <w:lang w:val="en-US" w:eastAsia="zh-CN"/>
              </w:rPr>
              <w:t>24</w:t>
            </w:r>
          </w:p>
        </w:tc>
        <w:tc>
          <w:tcPr>
            <w:tcW w:w="202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w:t>
            </w:r>
            <w:r>
              <w:rPr>
                <w:rFonts w:hint="eastAsia" w:ascii="楷体_GB2312" w:eastAsia="楷体_GB2312"/>
                <w:color w:val="auto"/>
                <w:sz w:val="24"/>
                <w:lang w:val="en-US" w:eastAsia="zh-CN"/>
              </w:rPr>
              <w:t>.5</w:t>
            </w:r>
          </w:p>
        </w:tc>
        <w:tc>
          <w:tcPr>
            <w:tcW w:w="1950" w:type="dxa"/>
            <w:vAlign w:val="center"/>
          </w:tcPr>
          <w:p>
            <w:pPr>
              <w:spacing w:line="300" w:lineRule="auto"/>
              <w:jc w:val="center"/>
              <w:rPr>
                <w:rFonts w:hint="eastAsia" w:ascii="楷体_GB2312" w:eastAsia="楷体_GB2312"/>
                <w:color w:val="auto"/>
                <w:sz w:val="24"/>
                <w:lang w:val="en-US" w:eastAsia="zh-CN"/>
              </w:rPr>
            </w:pPr>
            <w:r>
              <w:rPr>
                <w:rFonts w:hint="eastAsia" w:ascii="楷体_GB2312" w:eastAsia="楷体_GB2312"/>
                <w:color w:val="auto"/>
                <w:sz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3562" w:type="dxa"/>
            <w:vAlign w:val="center"/>
          </w:tcPr>
          <w:p>
            <w:pPr>
              <w:jc w:val="center"/>
              <w:rPr>
                <w:rFonts w:hint="eastAsia" w:ascii="楷体_GB2312" w:eastAsia="楷体_GB2312"/>
                <w:color w:val="auto"/>
                <w:sz w:val="24"/>
                <w:lang w:eastAsia="zh-CN"/>
              </w:rPr>
            </w:pPr>
            <w:r>
              <w:rPr>
                <w:rFonts w:hint="eastAsia" w:ascii="楷体_GB2312" w:eastAsia="楷体_GB2312"/>
                <w:color w:val="auto"/>
                <w:sz w:val="24"/>
                <w:lang w:eastAsia="zh-CN"/>
              </w:rPr>
              <w:t>船政文化</w:t>
            </w:r>
            <w:r>
              <w:rPr>
                <w:rFonts w:hint="eastAsia" w:ascii="楷体_GB2312" w:eastAsia="楷体_GB2312"/>
                <w:color w:val="auto"/>
                <w:sz w:val="24"/>
              </w:rPr>
              <w:t>（必选）</w:t>
            </w:r>
          </w:p>
        </w:tc>
        <w:tc>
          <w:tcPr>
            <w:tcW w:w="2114" w:type="dxa"/>
            <w:vAlign w:val="center"/>
          </w:tcPr>
          <w:p>
            <w:pPr>
              <w:spacing w:line="300" w:lineRule="auto"/>
              <w:jc w:val="center"/>
              <w:rPr>
                <w:rFonts w:hint="eastAsia" w:ascii="楷体_GB2312" w:eastAsia="楷体_GB2312"/>
                <w:color w:val="auto"/>
                <w:sz w:val="24"/>
                <w:lang w:val="en-US" w:eastAsia="zh-CN"/>
              </w:rPr>
            </w:pPr>
            <w:r>
              <w:rPr>
                <w:rFonts w:hint="eastAsia" w:ascii="楷体_GB2312" w:eastAsia="楷体_GB2312"/>
                <w:color w:val="auto"/>
                <w:sz w:val="24"/>
                <w:lang w:val="en-US" w:eastAsia="zh-CN"/>
              </w:rPr>
              <w:t>8</w:t>
            </w:r>
          </w:p>
        </w:tc>
        <w:tc>
          <w:tcPr>
            <w:tcW w:w="2026" w:type="dxa"/>
            <w:vAlign w:val="center"/>
          </w:tcPr>
          <w:p>
            <w:pPr>
              <w:spacing w:line="300" w:lineRule="auto"/>
              <w:jc w:val="center"/>
              <w:rPr>
                <w:rFonts w:hint="eastAsia" w:ascii="楷体_GB2312" w:eastAsia="楷体_GB2312"/>
                <w:color w:val="auto"/>
                <w:sz w:val="24"/>
                <w:lang w:val="en-US" w:eastAsia="zh-CN"/>
              </w:rPr>
            </w:pPr>
            <w:r>
              <w:rPr>
                <w:rFonts w:hint="eastAsia" w:ascii="楷体_GB2312" w:eastAsia="楷体_GB2312"/>
                <w:color w:val="auto"/>
                <w:sz w:val="24"/>
                <w:lang w:val="en-US" w:eastAsia="zh-CN"/>
              </w:rPr>
              <w:t>0.5</w:t>
            </w:r>
          </w:p>
        </w:tc>
        <w:tc>
          <w:tcPr>
            <w:tcW w:w="1950" w:type="dxa"/>
            <w:vAlign w:val="center"/>
          </w:tcPr>
          <w:p>
            <w:pPr>
              <w:spacing w:line="300" w:lineRule="auto"/>
              <w:jc w:val="center"/>
              <w:rPr>
                <w:rFonts w:hint="eastAsia" w:ascii="楷体_GB2312" w:eastAsia="楷体_GB2312"/>
                <w:color w:val="auto"/>
                <w:sz w:val="24"/>
                <w:lang w:val="en-US" w:eastAsia="zh-CN"/>
              </w:rPr>
            </w:pPr>
            <w:r>
              <w:rPr>
                <w:rFonts w:hint="eastAsia" w:ascii="楷体_GB2312" w:eastAsia="楷体_GB2312"/>
                <w:color w:val="auto"/>
                <w:sz w:val="24"/>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3562" w:type="dxa"/>
            <w:vAlign w:val="center"/>
          </w:tcPr>
          <w:p>
            <w:pPr>
              <w:jc w:val="center"/>
              <w:rPr>
                <w:rFonts w:ascii="楷体_GB2312" w:hAnsi="宋体" w:eastAsia="楷体_GB2312"/>
                <w:color w:val="auto"/>
                <w:sz w:val="24"/>
              </w:rPr>
            </w:pPr>
            <w:r>
              <w:rPr>
                <w:rFonts w:hint="eastAsia" w:ascii="楷体_GB2312" w:eastAsia="楷体_GB2312"/>
                <w:color w:val="auto"/>
                <w:sz w:val="24"/>
              </w:rPr>
              <w:t>人格培养（实践）（必选）</w:t>
            </w:r>
          </w:p>
        </w:tc>
        <w:tc>
          <w:tcPr>
            <w:tcW w:w="211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8</w:t>
            </w:r>
          </w:p>
        </w:tc>
        <w:tc>
          <w:tcPr>
            <w:tcW w:w="202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0.5</w:t>
            </w:r>
          </w:p>
        </w:tc>
        <w:tc>
          <w:tcPr>
            <w:tcW w:w="1950"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3562" w:type="dxa"/>
            <w:vAlign w:val="center"/>
          </w:tcPr>
          <w:p>
            <w:pPr>
              <w:jc w:val="center"/>
              <w:rPr>
                <w:rFonts w:ascii="楷体_GB2312" w:eastAsia="楷体_GB2312"/>
                <w:color w:val="auto"/>
                <w:sz w:val="24"/>
              </w:rPr>
            </w:pPr>
            <w:r>
              <w:rPr>
                <w:rFonts w:hint="eastAsia" w:ascii="楷体_GB2312" w:eastAsia="楷体_GB2312"/>
                <w:color w:val="auto"/>
                <w:sz w:val="24"/>
              </w:rPr>
              <w:t>大学生心理健康教育（必选）</w:t>
            </w:r>
          </w:p>
        </w:tc>
        <w:tc>
          <w:tcPr>
            <w:tcW w:w="2114"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32</w:t>
            </w:r>
          </w:p>
        </w:tc>
        <w:tc>
          <w:tcPr>
            <w:tcW w:w="2026"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不计学分</w:t>
            </w:r>
          </w:p>
        </w:tc>
        <w:tc>
          <w:tcPr>
            <w:tcW w:w="1950" w:type="dxa"/>
            <w:vAlign w:val="center"/>
          </w:tcPr>
          <w:p>
            <w:pPr>
              <w:spacing w:line="300" w:lineRule="auto"/>
              <w:jc w:val="center"/>
              <w:rPr>
                <w:rFonts w:ascii="楷体_GB2312" w:eastAsia="楷体_GB2312"/>
                <w:color w:val="auto"/>
                <w:sz w:val="24"/>
              </w:rPr>
            </w:pPr>
            <w:r>
              <w:rPr>
                <w:rFonts w:hint="eastAsia" w:ascii="楷体_GB2312" w:eastAsia="楷体_GB2312"/>
                <w:color w:val="auto"/>
                <w:sz w:val="24"/>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652" w:type="dxa"/>
            <w:gridSpan w:val="4"/>
            <w:vAlign w:val="center"/>
          </w:tcPr>
          <w:p>
            <w:pPr>
              <w:spacing w:line="300" w:lineRule="auto"/>
              <w:rPr>
                <w:rFonts w:ascii="楷体_GB2312" w:eastAsia="楷体_GB2312"/>
                <w:color w:val="auto"/>
                <w:sz w:val="24"/>
              </w:rPr>
            </w:pPr>
            <w:r>
              <w:rPr>
                <w:rFonts w:hint="eastAsia" w:ascii="楷体_GB2312" w:eastAsia="楷体_GB2312"/>
                <w:color w:val="auto"/>
                <w:sz w:val="24"/>
              </w:rPr>
              <w:t>其他：学分不少于</w:t>
            </w:r>
            <w:r>
              <w:rPr>
                <w:rFonts w:hint="eastAsia" w:ascii="楷体_GB2312" w:eastAsia="楷体_GB2312"/>
                <w:color w:val="auto"/>
                <w:sz w:val="24"/>
                <w:lang w:val="en-US" w:eastAsia="zh-CN"/>
              </w:rPr>
              <w:t>5</w:t>
            </w:r>
            <w:r>
              <w:rPr>
                <w:rFonts w:hint="eastAsia" w:ascii="楷体_GB2312" w:eastAsia="楷体_GB2312"/>
                <w:color w:val="auto"/>
                <w:sz w:val="24"/>
              </w:rPr>
              <w:t>.5学分，在素质通识课程中选修。</w:t>
            </w:r>
          </w:p>
        </w:tc>
      </w:tr>
    </w:tbl>
    <w:p>
      <w:pPr>
        <w:keepNext w:val="0"/>
        <w:keepLines w:val="0"/>
        <w:pageBreakBefore w:val="0"/>
        <w:widowControl w:val="0"/>
        <w:kinsoku/>
        <w:wordWrap/>
        <w:overflowPunct/>
        <w:topLinePunct w:val="0"/>
        <w:autoSpaceDE/>
        <w:autoSpaceDN/>
        <w:bidi w:val="0"/>
        <w:adjustRightInd/>
        <w:snapToGrid/>
        <w:spacing w:line="240" w:lineRule="auto"/>
        <w:ind w:right="0" w:rightChars="0"/>
        <w:jc w:val="both"/>
        <w:textAlignment w:val="auto"/>
        <w:outlineLvl w:val="9"/>
        <w:rPr>
          <w:rFonts w:hint="eastAsia" w:ascii="楷体_GB2312" w:eastAsia="楷体_GB2312"/>
          <w:color w:val="auto"/>
          <w:sz w:val="24"/>
        </w:rPr>
      </w:pPr>
      <w:r>
        <w:rPr>
          <w:rFonts w:hint="eastAsia" w:ascii="楷体_GB2312" w:eastAsia="楷体_GB2312"/>
          <w:color w:val="auto"/>
          <w:sz w:val="24"/>
          <w:lang w:val="en-US" w:eastAsia="zh-CN"/>
        </w:rPr>
        <w:t>*</w:t>
      </w:r>
      <w:r>
        <w:rPr>
          <w:rFonts w:hint="eastAsia" w:ascii="楷体_GB2312" w:eastAsia="楷体_GB2312"/>
          <w:color w:val="auto"/>
          <w:sz w:val="24"/>
          <w:lang w:eastAsia="zh-CN"/>
        </w:rPr>
        <w:t>注：国学教育课程包含：</w:t>
      </w:r>
      <w:r>
        <w:rPr>
          <w:rFonts w:hint="eastAsia" w:ascii="楷体_GB2312" w:eastAsia="楷体_GB2312"/>
          <w:color w:val="auto"/>
          <w:sz w:val="24"/>
        </w:rPr>
        <w:t>阳明心学</w:t>
      </w:r>
      <w:r>
        <w:rPr>
          <w:rFonts w:hint="eastAsia" w:ascii="楷体_GB2312" w:eastAsia="楷体_GB2312"/>
          <w:color w:val="auto"/>
          <w:sz w:val="24"/>
          <w:lang w:eastAsia="zh-CN"/>
        </w:rPr>
        <w:t>、论语导读、唐诗宋词选读、走进诗经、国学与心理等。</w:t>
      </w:r>
    </w:p>
    <w:p>
      <w:pPr>
        <w:spacing w:beforeLines="100"/>
        <w:ind w:firstLine="360"/>
        <w:rPr>
          <w:rFonts w:ascii="楷体_GB2312" w:hAnsi="宋体" w:eastAsia="楷体_GB2312"/>
          <w:color w:val="auto"/>
          <w:sz w:val="24"/>
        </w:rPr>
      </w:pPr>
      <w:r>
        <w:rPr>
          <w:rFonts w:hint="eastAsia" w:ascii="楷体_GB2312" w:eastAsia="楷体_GB2312"/>
          <w:color w:val="auto"/>
          <w:sz w:val="24"/>
        </w:rPr>
        <w:t>5</w:t>
      </w:r>
      <w:r>
        <w:rPr>
          <w:rFonts w:hint="eastAsia" w:ascii="楷体_GB2312" w:hAnsi="宋体" w:eastAsia="楷体_GB2312"/>
          <w:color w:val="auto"/>
          <w:sz w:val="24"/>
        </w:rPr>
        <w:t>、大学</w:t>
      </w:r>
      <w:r>
        <w:rPr>
          <w:rFonts w:hint="eastAsia" w:ascii="楷体_GB2312" w:hAnsi="宋体" w:eastAsia="楷体_GB2312"/>
          <w:color w:val="auto"/>
          <w:spacing w:val="4"/>
          <w:sz w:val="24"/>
        </w:rPr>
        <w:t>英语实行分级教学</w:t>
      </w:r>
      <w:r>
        <w:rPr>
          <w:rFonts w:hint="eastAsia" w:ascii="楷体_GB2312" w:hAnsi="宋体" w:eastAsia="楷体_GB2312"/>
          <w:color w:val="auto"/>
          <w:sz w:val="24"/>
        </w:rPr>
        <w:t>，详见《大学英语分级教学实施方案》。</w:t>
      </w:r>
    </w:p>
    <w:p>
      <w:pPr>
        <w:spacing w:line="300" w:lineRule="auto"/>
        <w:ind w:firstLine="360" w:firstLineChars="150"/>
        <w:rPr>
          <w:rFonts w:ascii="楷体_GB2312" w:hAnsi="宋体" w:eastAsia="楷体_GB2312"/>
          <w:color w:val="auto"/>
          <w:sz w:val="24"/>
        </w:rPr>
      </w:pPr>
      <w:r>
        <w:rPr>
          <w:rFonts w:hint="eastAsia" w:ascii="楷体_GB2312" w:eastAsia="楷体_GB2312"/>
          <w:color w:val="auto"/>
          <w:sz w:val="24"/>
        </w:rPr>
        <w:t>6、</w:t>
      </w:r>
      <w:r>
        <w:rPr>
          <w:rFonts w:hint="eastAsia" w:ascii="楷体_GB2312" w:hAnsi="宋体" w:eastAsia="楷体_GB2312"/>
          <w:color w:val="auto"/>
          <w:sz w:val="24"/>
        </w:rPr>
        <w:t>各专业的毕业实习和毕业设计（论文）合计为</w:t>
      </w:r>
      <w:r>
        <w:rPr>
          <w:rFonts w:hint="eastAsia" w:ascii="楷体_GB2312" w:eastAsia="楷体_GB2312"/>
          <w:color w:val="auto"/>
          <w:sz w:val="24"/>
        </w:rPr>
        <w:t>18</w:t>
      </w:r>
      <w:r>
        <w:rPr>
          <w:rFonts w:hint="eastAsia" w:ascii="楷体_GB2312" w:hAnsi="宋体" w:eastAsia="楷体_GB2312"/>
          <w:color w:val="auto"/>
          <w:sz w:val="24"/>
        </w:rPr>
        <w:t>学分。</w:t>
      </w:r>
    </w:p>
    <w:p>
      <w:pPr>
        <w:spacing w:line="300" w:lineRule="auto"/>
        <w:ind w:firstLine="360" w:firstLineChars="150"/>
        <w:rPr>
          <w:rFonts w:ascii="楷体_GB2312" w:hAnsi="宋体" w:eastAsia="楷体_GB2312"/>
          <w:color w:val="auto"/>
          <w:sz w:val="24"/>
        </w:rPr>
      </w:pPr>
      <w:r>
        <w:rPr>
          <w:rFonts w:hint="eastAsia" w:ascii="楷体_GB2312" w:hAnsi="宋体" w:eastAsia="楷体_GB2312"/>
          <w:color w:val="auto"/>
          <w:sz w:val="24"/>
        </w:rPr>
        <w:t>7、</w:t>
      </w:r>
      <w:r>
        <w:rPr>
          <w:rFonts w:hint="eastAsia" w:ascii="楷体_GB2312" w:hAnsi="宋体" w:eastAsia="楷体_GB2312"/>
          <w:color w:val="auto"/>
          <w:spacing w:val="4"/>
          <w:sz w:val="24"/>
        </w:rPr>
        <w:t>合理安排教学过程的学时，做到各</w:t>
      </w:r>
      <w:r>
        <w:rPr>
          <w:rFonts w:hint="eastAsia" w:ascii="楷体_GB2312" w:hAnsi="宋体" w:eastAsia="楷体_GB2312"/>
          <w:color w:val="auto"/>
          <w:sz w:val="24"/>
        </w:rPr>
        <w:t>学期的周学时均衡分布。</w:t>
      </w:r>
    </w:p>
    <w:p>
      <w:pPr>
        <w:spacing w:line="300" w:lineRule="auto"/>
        <w:ind w:firstLine="441" w:firstLineChars="147"/>
        <w:rPr>
          <w:rFonts w:ascii="楷体_GB2312" w:eastAsia="楷体_GB2312"/>
          <w:b/>
          <w:color w:val="auto"/>
          <w:sz w:val="30"/>
        </w:rPr>
      </w:pPr>
      <w:r>
        <w:rPr>
          <w:rFonts w:hint="eastAsia" w:ascii="楷体_GB2312" w:eastAsia="楷体_GB2312"/>
          <w:b/>
          <w:color w:val="auto"/>
          <w:sz w:val="30"/>
        </w:rPr>
        <w:t>四、时间分配</w:t>
      </w:r>
    </w:p>
    <w:p>
      <w:pPr>
        <w:spacing w:line="300" w:lineRule="auto"/>
        <w:ind w:firstLine="488" w:firstLineChars="200"/>
        <w:rPr>
          <w:rFonts w:ascii="楷体_GB2312" w:hAnsi="宋体" w:eastAsia="楷体_GB2312"/>
          <w:color w:val="auto"/>
          <w:sz w:val="24"/>
        </w:rPr>
      </w:pPr>
      <w:r>
        <w:rPr>
          <w:rFonts w:hint="eastAsia" w:ascii="楷体_GB2312" w:hAnsi="宋体" w:eastAsia="楷体_GB2312"/>
          <w:color w:val="auto"/>
          <w:spacing w:val="2"/>
          <w:sz w:val="24"/>
        </w:rPr>
        <w:t>各学期上课（含实践）计划周数均按</w:t>
      </w:r>
      <w:r>
        <w:rPr>
          <w:rFonts w:hint="eastAsia" w:ascii="楷体_GB2312" w:eastAsia="楷体_GB2312"/>
          <w:color w:val="auto"/>
          <w:spacing w:val="2"/>
          <w:sz w:val="24"/>
        </w:rPr>
        <w:t>18</w:t>
      </w:r>
      <w:r>
        <w:rPr>
          <w:rFonts w:hint="eastAsia" w:ascii="楷体_GB2312" w:hAnsi="宋体" w:eastAsia="楷体_GB2312"/>
          <w:color w:val="auto"/>
          <w:spacing w:val="2"/>
          <w:sz w:val="24"/>
        </w:rPr>
        <w:t>周计算。第一学期全院统一安排入学教育</w:t>
      </w:r>
      <w:r>
        <w:rPr>
          <w:rFonts w:hint="eastAsia" w:ascii="楷体_GB2312" w:eastAsia="楷体_GB2312"/>
          <w:color w:val="auto"/>
          <w:spacing w:val="2"/>
          <w:sz w:val="24"/>
        </w:rPr>
        <w:t>0.5</w:t>
      </w:r>
      <w:r>
        <w:rPr>
          <w:rFonts w:hint="eastAsia" w:ascii="楷体_GB2312" w:hAnsi="宋体" w:eastAsia="楷体_GB2312"/>
          <w:color w:val="auto"/>
          <w:spacing w:val="2"/>
          <w:sz w:val="24"/>
        </w:rPr>
        <w:t>周、军事训练</w:t>
      </w:r>
      <w:r>
        <w:rPr>
          <w:rFonts w:hint="eastAsia" w:ascii="楷体_GB2312" w:eastAsia="楷体_GB2312"/>
          <w:color w:val="auto"/>
          <w:spacing w:val="2"/>
          <w:sz w:val="24"/>
        </w:rPr>
        <w:t>2</w:t>
      </w:r>
      <w:r>
        <w:rPr>
          <w:rFonts w:hint="eastAsia" w:ascii="楷体_GB2312" w:hAnsi="宋体" w:eastAsia="楷体_GB2312"/>
          <w:color w:val="auto"/>
          <w:spacing w:val="2"/>
          <w:sz w:val="24"/>
        </w:rPr>
        <w:t>周、课内教</w:t>
      </w:r>
      <w:r>
        <w:rPr>
          <w:rFonts w:hint="eastAsia" w:ascii="楷体_GB2312" w:hAnsi="宋体" w:eastAsia="楷体_GB2312"/>
          <w:color w:val="auto"/>
          <w:sz w:val="24"/>
        </w:rPr>
        <w:t>学</w:t>
      </w:r>
      <w:r>
        <w:rPr>
          <w:rFonts w:hint="eastAsia" w:ascii="楷体_GB2312" w:eastAsia="楷体_GB2312"/>
          <w:color w:val="auto"/>
          <w:sz w:val="24"/>
        </w:rPr>
        <w:t>14</w:t>
      </w:r>
      <w:r>
        <w:rPr>
          <w:rFonts w:hint="eastAsia" w:ascii="楷体_GB2312" w:hAnsi="宋体" w:eastAsia="楷体_GB2312"/>
          <w:color w:val="auto"/>
          <w:sz w:val="24"/>
        </w:rPr>
        <w:t>周；其余各学期视专业不同情况排定课内教学和其它环节的周数。</w:t>
      </w:r>
    </w:p>
    <w:p>
      <w:pPr>
        <w:spacing w:line="300" w:lineRule="auto"/>
        <w:ind w:firstLine="441" w:firstLineChars="147"/>
        <w:rPr>
          <w:rFonts w:ascii="楷体_GB2312" w:eastAsia="楷体_GB2312"/>
          <w:b/>
          <w:color w:val="auto"/>
          <w:sz w:val="30"/>
        </w:rPr>
      </w:pPr>
      <w:r>
        <w:rPr>
          <w:rFonts w:hint="eastAsia" w:ascii="楷体_GB2312" w:eastAsia="楷体_GB2312"/>
          <w:b/>
          <w:color w:val="auto"/>
          <w:sz w:val="30"/>
        </w:rPr>
        <w:t>五、其他事项</w:t>
      </w:r>
    </w:p>
    <w:p>
      <w:pPr>
        <w:spacing w:line="300" w:lineRule="auto"/>
        <w:ind w:firstLine="360" w:firstLineChars="150"/>
        <w:rPr>
          <w:rFonts w:ascii="楷体_GB2312" w:hAnsi="宋体" w:eastAsia="楷体_GB2312"/>
          <w:bCs/>
          <w:color w:val="auto"/>
          <w:sz w:val="24"/>
        </w:rPr>
      </w:pPr>
      <w:r>
        <w:rPr>
          <w:rFonts w:hint="eastAsia" w:ascii="楷体_GB2312" w:eastAsia="楷体_GB2312"/>
          <w:bCs/>
          <w:color w:val="auto"/>
          <w:sz w:val="24"/>
        </w:rPr>
        <w:t>1</w:t>
      </w:r>
      <w:r>
        <w:rPr>
          <w:rFonts w:hint="eastAsia" w:ascii="楷体_GB2312" w:hAnsi="宋体" w:eastAsia="楷体_GB2312"/>
          <w:bCs/>
          <w:color w:val="auto"/>
          <w:sz w:val="24"/>
        </w:rPr>
        <w:t>、培养方案的文本格式应依照学院颁布的格式编写。</w:t>
      </w:r>
    </w:p>
    <w:p>
      <w:pPr>
        <w:spacing w:line="300" w:lineRule="auto"/>
        <w:ind w:firstLine="360" w:firstLineChars="150"/>
        <w:rPr>
          <w:rFonts w:ascii="楷体_GB2312" w:hAnsi="宋体" w:eastAsia="楷体_GB2312"/>
          <w:color w:val="auto"/>
          <w:sz w:val="24"/>
        </w:rPr>
      </w:pPr>
      <w:r>
        <w:rPr>
          <w:rFonts w:hint="eastAsia" w:ascii="楷体_GB2312" w:eastAsia="楷体_GB2312"/>
          <w:color w:val="auto"/>
          <w:sz w:val="24"/>
        </w:rPr>
        <w:t>2</w:t>
      </w:r>
      <w:r>
        <w:rPr>
          <w:rFonts w:hint="eastAsia" w:ascii="楷体_GB2312" w:hAnsi="宋体" w:eastAsia="楷体_GB2312"/>
          <w:color w:val="auto"/>
          <w:sz w:val="24"/>
        </w:rPr>
        <w:t>、</w:t>
      </w:r>
      <w:r>
        <w:rPr>
          <w:rFonts w:hint="eastAsia" w:ascii="楷体_GB2312" w:hAnsi="宋体" w:eastAsia="楷体_GB2312"/>
          <w:bCs/>
          <w:color w:val="auto"/>
          <w:sz w:val="24"/>
        </w:rPr>
        <w:t>学分分布安排应按照本意见的要求进行，需变更时应报教务</w:t>
      </w:r>
      <w:r>
        <w:rPr>
          <w:rFonts w:hint="eastAsia" w:ascii="楷体_GB2312" w:hAnsi="宋体" w:eastAsia="楷体_GB2312"/>
          <w:bCs/>
          <w:color w:val="auto"/>
          <w:sz w:val="24"/>
          <w:lang w:eastAsia="zh-CN"/>
        </w:rPr>
        <w:t>处</w:t>
      </w:r>
      <w:r>
        <w:rPr>
          <w:rFonts w:hint="eastAsia" w:ascii="楷体_GB2312" w:hAnsi="宋体" w:eastAsia="楷体_GB2312"/>
          <w:bCs/>
          <w:color w:val="auto"/>
          <w:sz w:val="24"/>
        </w:rPr>
        <w:t>批准。</w:t>
      </w:r>
    </w:p>
    <w:p>
      <w:pPr>
        <w:spacing w:line="300" w:lineRule="auto"/>
        <w:ind w:firstLine="360" w:firstLineChars="150"/>
        <w:rPr>
          <w:rFonts w:ascii="楷体_GB2312" w:hAnsi="宋体" w:eastAsia="楷体_GB2312"/>
          <w:bCs/>
          <w:color w:val="auto"/>
          <w:sz w:val="24"/>
        </w:rPr>
      </w:pPr>
      <w:r>
        <w:rPr>
          <w:rFonts w:hint="eastAsia" w:ascii="楷体_GB2312" w:eastAsia="楷体_GB2312"/>
          <w:bCs/>
          <w:color w:val="auto"/>
          <w:sz w:val="24"/>
        </w:rPr>
        <w:t>3</w:t>
      </w:r>
      <w:r>
        <w:rPr>
          <w:rFonts w:hint="eastAsia" w:ascii="楷体_GB2312" w:hAnsi="宋体" w:eastAsia="楷体_GB2312"/>
          <w:bCs/>
          <w:color w:val="auto"/>
          <w:sz w:val="24"/>
        </w:rPr>
        <w:t>、</w:t>
      </w:r>
      <w:r>
        <w:rPr>
          <w:rFonts w:hint="eastAsia" w:ascii="楷体_GB2312" w:hAnsi="宋体" w:eastAsia="楷体_GB2312"/>
          <w:color w:val="auto"/>
          <w:sz w:val="24"/>
        </w:rPr>
        <w:t>各课程中的实践学时应予以列出。</w:t>
      </w:r>
    </w:p>
    <w:p>
      <w:pPr>
        <w:spacing w:line="300" w:lineRule="auto"/>
        <w:ind w:firstLine="360" w:firstLineChars="150"/>
        <w:rPr>
          <w:rFonts w:ascii="楷体_GB2312" w:hAnsi="宋体" w:eastAsia="楷体_GB2312"/>
          <w:bCs/>
          <w:color w:val="auto"/>
          <w:sz w:val="24"/>
        </w:rPr>
      </w:pPr>
      <w:r>
        <w:rPr>
          <w:rFonts w:hint="eastAsia" w:ascii="楷体_GB2312" w:eastAsia="楷体_GB2312"/>
          <w:bCs/>
          <w:color w:val="auto"/>
          <w:sz w:val="24"/>
        </w:rPr>
        <w:t>4</w:t>
      </w:r>
      <w:r>
        <w:rPr>
          <w:rFonts w:hint="eastAsia" w:ascii="楷体_GB2312" w:hAnsi="宋体" w:eastAsia="楷体_GB2312"/>
          <w:bCs/>
          <w:color w:val="auto"/>
          <w:sz w:val="24"/>
        </w:rPr>
        <w:t>、课程名称应规范、统一，不得随意缩写。</w:t>
      </w:r>
    </w:p>
    <w:p>
      <w:pPr>
        <w:spacing w:line="300" w:lineRule="auto"/>
        <w:rPr>
          <w:rFonts w:hint="eastAsia" w:ascii="楷体_GB2312" w:eastAsia="楷体_GB2312"/>
          <w:b/>
          <w:color w:val="auto"/>
          <w:sz w:val="30"/>
        </w:rPr>
      </w:pPr>
      <w:r>
        <w:rPr>
          <w:rFonts w:hint="eastAsia" w:ascii="楷体_GB2312" w:eastAsia="楷体_GB2312"/>
          <w:b/>
          <w:color w:val="auto"/>
          <w:sz w:val="30"/>
        </w:rPr>
        <w:t>六、本次制订的培养方案自2017级开始实施。</w:t>
      </w:r>
    </w:p>
    <w:p>
      <w:pPr>
        <w:spacing w:line="300" w:lineRule="auto"/>
        <w:rPr>
          <w:rFonts w:hint="eastAsia" w:ascii="楷体_GB2312" w:eastAsia="楷体_GB2312"/>
          <w:b/>
          <w:color w:val="auto"/>
          <w:sz w:val="30"/>
        </w:rPr>
      </w:pPr>
    </w:p>
    <w:p>
      <w:pPr>
        <w:spacing w:line="300" w:lineRule="auto"/>
        <w:rPr>
          <w:rFonts w:hint="eastAsia" w:ascii="楷体_GB2312" w:eastAsia="楷体_GB2312"/>
          <w:b/>
          <w:color w:val="auto"/>
          <w:sz w:val="30"/>
        </w:rPr>
      </w:pPr>
    </w:p>
    <w:p>
      <w:pPr>
        <w:spacing w:line="300" w:lineRule="auto"/>
        <w:rPr>
          <w:rFonts w:hint="eastAsia" w:ascii="楷体_GB2312" w:eastAsia="楷体_GB2312"/>
          <w:b/>
          <w:color w:val="auto"/>
          <w:sz w:val="30"/>
        </w:rPr>
      </w:pPr>
    </w:p>
    <w:p>
      <w:pPr>
        <w:rPr>
          <w:rFonts w:hint="eastAsia" w:ascii="楷体_GB2312" w:eastAsia="楷体_GB2312"/>
          <w:b/>
          <w:color w:val="auto"/>
          <w:sz w:val="30"/>
          <w:lang w:val="en-US" w:eastAsia="zh-CN"/>
        </w:rPr>
      </w:pPr>
      <w:r>
        <w:rPr>
          <w:rFonts w:hint="eastAsia" w:ascii="楷体_GB2312" w:eastAsia="楷体_GB2312"/>
          <w:b/>
          <w:color w:val="auto"/>
          <w:sz w:val="30"/>
          <w:lang w:val="en-US" w:eastAsia="zh-CN"/>
        </w:rPr>
        <w:t xml:space="preserve">    </w:t>
      </w:r>
    </w:p>
    <w:p>
      <w:pPr>
        <w:rPr>
          <w:rFonts w:hint="eastAsia" w:ascii="楷体_GB2312" w:eastAsia="楷体_GB2312"/>
          <w:b/>
          <w:color w:val="auto"/>
          <w:sz w:val="30"/>
          <w:lang w:val="en-US" w:eastAsia="zh-CN"/>
        </w:rPr>
      </w:pPr>
    </w:p>
    <w:p>
      <w:pPr>
        <w:rPr>
          <w:rFonts w:hint="eastAsia" w:ascii="楷体_GB2312" w:eastAsia="楷体_GB2312"/>
          <w:b/>
          <w:color w:val="auto"/>
          <w:sz w:val="30"/>
          <w:lang w:val="en-US" w:eastAsia="zh-CN"/>
        </w:rPr>
      </w:pPr>
    </w:p>
    <w:p>
      <w:pPr>
        <w:rPr>
          <w:rFonts w:hint="eastAsia" w:ascii="楷体_GB2312" w:eastAsia="楷体_GB2312"/>
          <w:b/>
          <w:color w:val="auto"/>
          <w:sz w:val="30"/>
          <w:lang w:val="en-US" w:eastAsia="zh-CN"/>
        </w:rPr>
      </w:pPr>
    </w:p>
    <w:p>
      <w:pPr>
        <w:rPr>
          <w:rFonts w:hint="eastAsia" w:ascii="楷体_GB2312" w:eastAsia="楷体_GB2312"/>
          <w:b/>
          <w:color w:val="auto"/>
          <w:sz w:val="30"/>
          <w:lang w:val="en-US" w:eastAsia="zh-CN"/>
        </w:rPr>
      </w:pPr>
    </w:p>
    <w:p>
      <w:pPr>
        <w:rPr>
          <w:rFonts w:hint="eastAsia" w:ascii="楷体_GB2312" w:eastAsia="楷体_GB2312"/>
          <w:b/>
          <w:color w:val="auto"/>
          <w:sz w:val="30"/>
          <w:lang w:val="en-US" w:eastAsia="zh-CN"/>
        </w:rPr>
      </w:pPr>
    </w:p>
    <w:p>
      <w:pPr>
        <w:rPr>
          <w:rFonts w:hint="eastAsia" w:ascii="楷体_GB2312" w:eastAsia="楷体_GB2312"/>
          <w:b/>
          <w:color w:val="auto"/>
          <w:sz w:val="30"/>
          <w:lang w:val="en-US" w:eastAsia="zh-CN"/>
        </w:rPr>
      </w:pPr>
    </w:p>
    <w:p>
      <w:pPr>
        <w:keepNext/>
        <w:keepLines w:val="0"/>
        <w:pageBreakBefore/>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outlineLvl w:val="9"/>
        <w:rPr>
          <w:rFonts w:hint="eastAsia" w:ascii="仿宋_GB2312" w:hAnsi="仿宋_GB2312" w:eastAsia="仿宋_GB2312" w:cs="仿宋_GB2312"/>
          <w:b w:val="0"/>
          <w:bCs/>
          <w:color w:val="auto"/>
          <w:sz w:val="32"/>
          <w:szCs w:val="32"/>
          <w:lang w:val="en-US" w:eastAsia="zh-CN"/>
        </w:rPr>
      </w:pPr>
      <w:r>
        <w:rPr>
          <w:rFonts w:hint="eastAsia" w:ascii="仿宋_GB2312" w:hAnsi="仿宋_GB2312" w:eastAsia="仿宋_GB2312" w:cs="仿宋_GB2312"/>
          <w:b w:val="0"/>
          <w:bCs/>
          <w:color w:val="auto"/>
          <w:sz w:val="32"/>
          <w:szCs w:val="32"/>
          <w:lang w:eastAsia="zh-CN"/>
        </w:rPr>
        <w:t>附件</w:t>
      </w:r>
      <w:r>
        <w:rPr>
          <w:rFonts w:hint="eastAsia" w:ascii="仿宋_GB2312" w:hAnsi="仿宋_GB2312" w:eastAsia="仿宋_GB2312" w:cs="仿宋_GB2312"/>
          <w:b w:val="0"/>
          <w:bCs/>
          <w:color w:val="auto"/>
          <w:sz w:val="32"/>
          <w:szCs w:val="32"/>
          <w:lang w:val="en-US" w:eastAsia="zh-CN"/>
        </w:rPr>
        <w:t>2</w:t>
      </w:r>
    </w:p>
    <w:p>
      <w:pPr>
        <w:spacing w:line="300" w:lineRule="auto"/>
        <w:jc w:val="center"/>
        <w:outlineLvl w:val="0"/>
        <w:rPr>
          <w:rFonts w:ascii="宋体" w:hAnsi="宋体"/>
          <w:b/>
          <w:color w:val="auto"/>
          <w:sz w:val="36"/>
          <w:szCs w:val="36"/>
        </w:rPr>
      </w:pPr>
      <w:r>
        <w:rPr>
          <w:rFonts w:hint="eastAsia" w:ascii="宋体" w:hAnsi="宋体"/>
          <w:b/>
          <w:color w:val="auto"/>
          <w:sz w:val="36"/>
          <w:szCs w:val="36"/>
        </w:rPr>
        <w:t>阳光学院关于</w:t>
      </w:r>
      <w:r>
        <w:rPr>
          <w:rFonts w:hint="eastAsia" w:ascii="宋体" w:hAnsi="宋体"/>
          <w:b/>
          <w:color w:val="auto"/>
          <w:sz w:val="36"/>
          <w:szCs w:val="36"/>
          <w:lang w:eastAsia="zh-CN"/>
        </w:rPr>
        <w:t>制订</w:t>
      </w:r>
      <w:r>
        <w:rPr>
          <w:rFonts w:hint="eastAsia" w:ascii="宋体" w:hAnsi="宋体"/>
          <w:b/>
          <w:color w:val="auto"/>
          <w:sz w:val="36"/>
          <w:szCs w:val="36"/>
        </w:rPr>
        <w:t>2017</w:t>
      </w:r>
      <w:r>
        <w:rPr>
          <w:rFonts w:hint="eastAsia" w:ascii="宋体" w:hAnsi="宋体"/>
          <w:b/>
          <w:color w:val="auto"/>
          <w:sz w:val="36"/>
          <w:szCs w:val="36"/>
          <w:lang w:eastAsia="zh-CN"/>
        </w:rPr>
        <w:t>版专升本人才</w:t>
      </w:r>
      <w:r>
        <w:rPr>
          <w:rFonts w:hint="eastAsia" w:ascii="宋体" w:hAnsi="宋体"/>
          <w:b/>
          <w:color w:val="auto"/>
          <w:sz w:val="36"/>
          <w:szCs w:val="36"/>
        </w:rPr>
        <w:t>培养方案的指导性意见</w:t>
      </w:r>
    </w:p>
    <w:p>
      <w:pPr>
        <w:widowControl/>
        <w:spacing w:line="300" w:lineRule="auto"/>
        <w:jc w:val="center"/>
        <w:rPr>
          <w:rFonts w:hint="eastAsia" w:ascii="楷体_GB2312" w:eastAsia="楷体_GB2312"/>
          <w:color w:val="auto"/>
          <w:sz w:val="28"/>
          <w:szCs w:val="28"/>
          <w:lang w:val="en-US" w:eastAsia="zh-CN"/>
        </w:rPr>
      </w:pPr>
    </w:p>
    <w:p>
      <w:pPr>
        <w:widowControl/>
        <w:spacing w:line="300" w:lineRule="auto"/>
        <w:ind w:firstLine="480" w:firstLineChars="200"/>
        <w:rPr>
          <w:rFonts w:ascii="楷体_GB2312" w:hAnsi="宋体" w:eastAsia="楷体_GB2312" w:cs="Arial"/>
          <w:color w:val="auto"/>
          <w:kern w:val="0"/>
          <w:sz w:val="24"/>
        </w:rPr>
      </w:pPr>
      <w:r>
        <w:rPr>
          <w:rFonts w:hint="eastAsia" w:ascii="楷体_GB2312" w:hAnsi="宋体" w:eastAsia="楷体_GB2312"/>
          <w:color w:val="auto"/>
          <w:sz w:val="24"/>
        </w:rPr>
        <w:t>为了更好地适应社会经济迅速发展对人才培养的新要求，进一步深化本科人才培养模式改革，整体优化人才培养方案，全面提高人才培养质量，切实增强学生创新精神和实践能力，围绕创新驱动发展、大众创新万众创业、“一带一路”、中国（福建）自由贸易试验区等国家和省重大战略需求，</w:t>
      </w:r>
      <w:r>
        <w:rPr>
          <w:rFonts w:hint="eastAsia" w:ascii="楷体_GB2312" w:hAnsi="宋体" w:eastAsia="楷体_GB2312"/>
          <w:color w:val="auto"/>
          <w:spacing w:val="4"/>
          <w:sz w:val="24"/>
        </w:rPr>
        <w:t>根据学院推动转型发展工作部署，学院拟实施新一</w:t>
      </w:r>
      <w:r>
        <w:rPr>
          <w:rFonts w:hint="eastAsia" w:ascii="楷体_GB2312" w:hAnsi="宋体" w:eastAsia="楷体_GB2312"/>
          <w:color w:val="auto"/>
          <w:sz w:val="24"/>
        </w:rPr>
        <w:t>轮人才培养方案的修订工作。现对</w:t>
      </w:r>
      <w:r>
        <w:rPr>
          <w:rFonts w:hint="eastAsia" w:ascii="楷体_GB2312" w:hAnsi="宋体" w:eastAsia="楷体_GB2312"/>
          <w:color w:val="auto"/>
          <w:sz w:val="24"/>
          <w:lang w:eastAsia="zh-CN"/>
        </w:rPr>
        <w:t>制订</w:t>
      </w:r>
      <w:r>
        <w:rPr>
          <w:rFonts w:hint="eastAsia" w:ascii="楷体_GB2312" w:eastAsia="楷体_GB2312"/>
          <w:color w:val="auto"/>
          <w:sz w:val="24"/>
        </w:rPr>
        <w:t>2017</w:t>
      </w:r>
      <w:r>
        <w:rPr>
          <w:rFonts w:hint="eastAsia" w:ascii="楷体_GB2312" w:hAnsi="宋体" w:eastAsia="楷体_GB2312"/>
          <w:color w:val="auto"/>
          <w:sz w:val="24"/>
          <w:lang w:eastAsia="zh-CN"/>
        </w:rPr>
        <w:t>版专升本人才</w:t>
      </w:r>
      <w:r>
        <w:rPr>
          <w:rFonts w:hint="eastAsia" w:ascii="楷体_GB2312" w:hAnsi="宋体" w:eastAsia="楷体_GB2312"/>
          <w:color w:val="auto"/>
          <w:sz w:val="24"/>
        </w:rPr>
        <w:t>培养方案提出如下指导性意见。</w:t>
      </w:r>
    </w:p>
    <w:p>
      <w:pPr>
        <w:spacing w:line="300" w:lineRule="auto"/>
        <w:ind w:firstLine="441" w:firstLineChars="147"/>
        <w:rPr>
          <w:rFonts w:ascii="楷体_GB2312" w:eastAsia="楷体_GB2312"/>
          <w:b/>
          <w:color w:val="auto"/>
          <w:sz w:val="30"/>
          <w:szCs w:val="30"/>
        </w:rPr>
      </w:pPr>
      <w:r>
        <w:rPr>
          <w:rFonts w:hint="eastAsia" w:ascii="楷体_GB2312" w:eastAsia="楷体_GB2312"/>
          <w:b/>
          <w:color w:val="auto"/>
          <w:sz w:val="30"/>
          <w:szCs w:val="30"/>
        </w:rPr>
        <w:t>一、指导思想</w:t>
      </w:r>
    </w:p>
    <w:p>
      <w:pPr>
        <w:spacing w:line="300" w:lineRule="auto"/>
        <w:ind w:firstLine="480" w:firstLineChars="200"/>
        <w:rPr>
          <w:rFonts w:ascii="楷体_GB2312" w:eastAsia="楷体_GB2312"/>
          <w:b/>
          <w:color w:val="auto"/>
          <w:sz w:val="24"/>
        </w:rPr>
      </w:pPr>
      <w:r>
        <w:rPr>
          <w:rFonts w:hint="eastAsia" w:ascii="楷体_GB2312" w:eastAsia="楷体_GB2312"/>
          <w:bCs/>
          <w:color w:val="auto"/>
          <w:sz w:val="24"/>
        </w:rPr>
        <w:t>坚持党的教育方针，遵循高等教育发展规律，贯彻落实《关于引导部分地方普通本科高校向应用型转变的指导意见》（教发〔2015〕7号）以及《关于深化高等学校创新创业教育改革的实施意见》（国办发〔2015〕36号）的文件精神，</w:t>
      </w:r>
      <w:r>
        <w:rPr>
          <w:rFonts w:hint="eastAsia" w:ascii="楷体_GB2312" w:hAnsi="宋体" w:eastAsia="楷体_GB2312"/>
          <w:bCs/>
          <w:color w:val="auto"/>
          <w:sz w:val="24"/>
        </w:rPr>
        <w:t>坚持“育人为本，质量立校，特色发展，服务地方”的办学方针，深化“应用型”人才培养模式改革，构建并实施“产教融合、协同育人” 人才培养创新模式，</w:t>
      </w:r>
      <w:r>
        <w:rPr>
          <w:rFonts w:hint="eastAsia" w:ascii="楷体_GB2312" w:eastAsia="楷体_GB2312"/>
          <w:bCs/>
          <w:color w:val="auto"/>
          <w:sz w:val="24"/>
        </w:rPr>
        <w:t>扎实推进创新创业教育，</w:t>
      </w:r>
      <w:r>
        <w:rPr>
          <w:rFonts w:hint="eastAsia" w:ascii="楷体_GB2312" w:hAnsi="宋体" w:eastAsia="楷体_GB2312"/>
          <w:bCs/>
          <w:color w:val="auto"/>
          <w:sz w:val="24"/>
        </w:rPr>
        <w:t>培养学生自主学习能力、创新精神与实践能力</w:t>
      </w:r>
      <w:r>
        <w:rPr>
          <w:rFonts w:hint="eastAsia" w:ascii="楷体_GB2312" w:hAnsi="宋体" w:eastAsia="楷体_GB2312"/>
          <w:bCs/>
          <w:color w:val="auto"/>
          <w:sz w:val="24"/>
          <w:lang w:eastAsia="zh-CN"/>
        </w:rPr>
        <w:t>。</w:t>
      </w:r>
      <w:r>
        <w:rPr>
          <w:rFonts w:hint="eastAsia" w:ascii="楷体_GB2312" w:hAnsi="宋体" w:eastAsia="楷体_GB2312"/>
          <w:bCs/>
          <w:color w:val="auto"/>
          <w:sz w:val="24"/>
          <w:lang w:val="en-US" w:eastAsia="zh-CN"/>
        </w:rPr>
        <w:t>结合</w:t>
      </w:r>
      <w:r>
        <w:rPr>
          <w:rFonts w:hint="eastAsia" w:ascii="楷体_GB2312" w:eastAsia="楷体_GB2312"/>
          <w:bCs/>
          <w:color w:val="auto"/>
          <w:sz w:val="24"/>
        </w:rPr>
        <w:t>《关于实施中华优秀传统文化传承发展工程的意见》、《完善中华优秀传统文化教育指导纲要》（教社科〔2014〕3号）</w:t>
      </w:r>
      <w:r>
        <w:rPr>
          <w:rFonts w:hint="eastAsia" w:ascii="楷体_GB2312" w:eastAsia="楷体_GB2312"/>
          <w:bCs/>
          <w:color w:val="auto"/>
          <w:sz w:val="24"/>
          <w:lang w:val="en-US" w:eastAsia="zh-CN"/>
        </w:rPr>
        <w:t>文件要求</w:t>
      </w:r>
      <w:r>
        <w:rPr>
          <w:rFonts w:hint="eastAsia" w:ascii="楷体_GB2312" w:eastAsia="楷体_GB2312"/>
          <w:bCs/>
          <w:color w:val="auto"/>
          <w:sz w:val="24"/>
          <w:lang w:eastAsia="zh-CN"/>
        </w:rPr>
        <w:t>，</w:t>
      </w:r>
      <w:r>
        <w:rPr>
          <w:rFonts w:hint="eastAsia" w:ascii="楷体_GB2312" w:hAnsi="宋体" w:eastAsia="楷体_GB2312"/>
          <w:bCs/>
          <w:color w:val="auto"/>
          <w:sz w:val="24"/>
        </w:rPr>
        <w:t>加强中华优秀传统文化教育，</w:t>
      </w:r>
      <w:r>
        <w:rPr>
          <w:rFonts w:hint="eastAsia" w:ascii="楷体_GB2312" w:eastAsia="楷体_GB2312"/>
          <w:bCs/>
          <w:color w:val="auto"/>
          <w:sz w:val="24"/>
        </w:rPr>
        <w:t>增强学生传承弘扬中华优秀传统文化的责任感和使命感</w:t>
      </w:r>
      <w:r>
        <w:rPr>
          <w:rFonts w:hint="eastAsia" w:ascii="楷体_GB2312" w:eastAsia="楷体_GB2312"/>
          <w:bCs/>
          <w:color w:val="auto"/>
          <w:sz w:val="24"/>
          <w:lang w:eastAsia="zh-CN"/>
        </w:rPr>
        <w:t>。</w:t>
      </w:r>
    </w:p>
    <w:p>
      <w:pPr>
        <w:spacing w:line="300" w:lineRule="auto"/>
        <w:ind w:firstLine="602"/>
        <w:rPr>
          <w:rFonts w:hint="eastAsia" w:ascii="楷体_GB2312" w:hAnsi="宋体" w:eastAsia="楷体_GB2312"/>
          <w:bCs/>
          <w:color w:val="auto"/>
          <w:sz w:val="24"/>
        </w:rPr>
      </w:pPr>
      <w:r>
        <w:rPr>
          <w:rFonts w:hint="eastAsia" w:ascii="楷体_GB2312" w:eastAsia="楷体_GB2312"/>
          <w:b/>
          <w:color w:val="auto"/>
          <w:sz w:val="30"/>
          <w:szCs w:val="30"/>
        </w:rPr>
        <w:t>二、基本思路</w:t>
      </w:r>
      <w:r>
        <w:rPr>
          <w:rFonts w:hint="eastAsia" w:ascii="楷体_GB2312" w:hAnsi="宋体" w:eastAsia="楷体_GB2312"/>
          <w:bCs/>
          <w:color w:val="auto"/>
          <w:sz w:val="24"/>
        </w:rPr>
        <w:t xml:space="preserve">    </w:t>
      </w:r>
    </w:p>
    <w:p>
      <w:pPr>
        <w:spacing w:line="300" w:lineRule="auto"/>
        <w:ind w:firstLine="602"/>
        <w:rPr>
          <w:rFonts w:ascii="楷体_GB2312" w:hAnsi="宋体" w:eastAsia="楷体_GB2312"/>
          <w:bCs/>
          <w:color w:val="auto"/>
          <w:sz w:val="24"/>
        </w:rPr>
      </w:pPr>
      <w:r>
        <w:rPr>
          <w:rFonts w:hint="eastAsia" w:ascii="楷体_GB2312" w:hAnsi="宋体" w:eastAsia="楷体_GB2312"/>
          <w:bCs/>
          <w:color w:val="auto"/>
          <w:sz w:val="24"/>
        </w:rPr>
        <w:t>基于2016</w:t>
      </w:r>
      <w:r>
        <w:rPr>
          <w:rFonts w:hint="eastAsia" w:ascii="楷体_GB2312" w:hAnsi="宋体" w:eastAsia="楷体_GB2312"/>
          <w:bCs/>
          <w:color w:val="auto"/>
          <w:sz w:val="24"/>
          <w:lang w:eastAsia="zh-CN"/>
        </w:rPr>
        <w:t>版</w:t>
      </w:r>
      <w:r>
        <w:rPr>
          <w:rFonts w:hint="eastAsia" w:ascii="楷体_GB2312" w:hAnsi="宋体" w:eastAsia="楷体_GB2312"/>
          <w:bCs/>
          <w:color w:val="auto"/>
          <w:sz w:val="24"/>
        </w:rPr>
        <w:t>全面修订的应用型人才培养方案的基本思路不变，2017</w:t>
      </w:r>
      <w:r>
        <w:rPr>
          <w:rFonts w:hint="eastAsia" w:ascii="楷体_GB2312" w:hAnsi="宋体" w:eastAsia="楷体_GB2312"/>
          <w:bCs/>
          <w:color w:val="auto"/>
          <w:sz w:val="24"/>
          <w:lang w:eastAsia="zh-CN"/>
        </w:rPr>
        <w:t>版</w:t>
      </w:r>
      <w:r>
        <w:rPr>
          <w:rFonts w:hint="eastAsia" w:ascii="楷体_GB2312" w:hAnsi="宋体" w:eastAsia="楷体_GB2312"/>
          <w:bCs/>
          <w:color w:val="auto"/>
          <w:sz w:val="24"/>
        </w:rPr>
        <w:t>专业培养方案以调整与完善为主，进一步加强应用型转型发展所需课程体系调整，继续深化</w:t>
      </w:r>
      <w:r>
        <w:rPr>
          <w:rFonts w:ascii="楷体_GB2312" w:hAnsi="宋体" w:eastAsia="楷体_GB2312"/>
          <w:bCs/>
          <w:color w:val="auto"/>
          <w:sz w:val="24"/>
        </w:rPr>
        <w:t>高等教育</w:t>
      </w:r>
      <w:r>
        <w:rPr>
          <w:rFonts w:hint="eastAsia" w:ascii="楷体_GB2312" w:hAnsi="宋体" w:eastAsia="楷体_GB2312"/>
          <w:bCs/>
          <w:color w:val="auto"/>
          <w:sz w:val="24"/>
        </w:rPr>
        <w:t>人才</w:t>
      </w:r>
      <w:r>
        <w:rPr>
          <w:rFonts w:ascii="楷体_GB2312" w:hAnsi="宋体" w:eastAsia="楷体_GB2312"/>
          <w:bCs/>
          <w:color w:val="auto"/>
          <w:sz w:val="24"/>
        </w:rPr>
        <w:t>供给侧结构性改革</w:t>
      </w:r>
      <w:r>
        <w:rPr>
          <w:rFonts w:hint="eastAsia" w:ascii="楷体_GB2312" w:hAnsi="宋体" w:eastAsia="楷体_GB2312"/>
          <w:bCs/>
          <w:color w:val="auto"/>
          <w:sz w:val="24"/>
        </w:rPr>
        <w:t>，更精准地适应</w:t>
      </w:r>
      <w:r>
        <w:rPr>
          <w:rFonts w:ascii="楷体_GB2312" w:hAnsi="宋体" w:eastAsia="楷体_GB2312"/>
          <w:bCs/>
          <w:color w:val="auto"/>
          <w:sz w:val="24"/>
        </w:rPr>
        <w:t>社会主义市场经济体制和现代</w:t>
      </w:r>
      <w:r>
        <w:rPr>
          <w:rFonts w:hint="eastAsia" w:ascii="楷体_GB2312" w:hAnsi="宋体" w:eastAsia="楷体_GB2312"/>
          <w:bCs/>
          <w:color w:val="auto"/>
          <w:sz w:val="24"/>
        </w:rPr>
        <w:t>产业需求的</w:t>
      </w:r>
      <w:r>
        <w:rPr>
          <w:rFonts w:ascii="楷体_GB2312" w:hAnsi="宋体" w:eastAsia="楷体_GB2312"/>
          <w:bCs/>
          <w:color w:val="auto"/>
          <w:sz w:val="24"/>
        </w:rPr>
        <w:t>高等教育体系。</w:t>
      </w:r>
    </w:p>
    <w:p>
      <w:pPr>
        <w:spacing w:line="300" w:lineRule="auto"/>
        <w:ind w:firstLine="562"/>
        <w:rPr>
          <w:rFonts w:ascii="楷体_GB2312" w:hAnsi="宋体" w:eastAsia="楷体_GB2312"/>
          <w:b/>
          <w:color w:val="auto"/>
          <w:sz w:val="28"/>
          <w:szCs w:val="28"/>
        </w:rPr>
      </w:pPr>
      <w:r>
        <w:rPr>
          <w:rFonts w:hint="eastAsia" w:ascii="楷体_GB2312" w:hAnsi="宋体" w:eastAsia="楷体_GB2312"/>
          <w:b/>
          <w:color w:val="auto"/>
          <w:sz w:val="28"/>
          <w:szCs w:val="28"/>
        </w:rPr>
        <w:t>（一）以国家或行业标准为基础，修订专业人才培养方案</w:t>
      </w:r>
    </w:p>
    <w:p>
      <w:pPr>
        <w:spacing w:line="300" w:lineRule="auto"/>
        <w:ind w:firstLine="562"/>
        <w:rPr>
          <w:rFonts w:ascii="楷体_GB2312" w:hAnsi="宋体" w:eastAsia="楷体_GB2312"/>
          <w:bCs/>
          <w:color w:val="auto"/>
          <w:sz w:val="24"/>
        </w:rPr>
      </w:pPr>
      <w:r>
        <w:rPr>
          <w:rFonts w:hint="eastAsia" w:ascii="楷体_GB2312" w:hAnsi="宋体" w:eastAsia="楷体_GB2312"/>
          <w:bCs/>
          <w:color w:val="auto"/>
          <w:sz w:val="24"/>
        </w:rPr>
        <w:t>根据教育部公布的本科专业类教学质量国家标准或行业职业资格认证标准，以及国家和省战略需求，结合专业发展特色，深入调研，邀请行业专家、企业家、教育教学专家对培养方案进行论证并修订，进一步明确每个专业培养的学生应具备的总体素质和综合能力，满足向应用型转变的发展需要，符合复合性、创新性的应用型人才培养目标。</w:t>
      </w:r>
    </w:p>
    <w:p>
      <w:pPr>
        <w:spacing w:line="300" w:lineRule="auto"/>
        <w:ind w:firstLine="562"/>
        <w:rPr>
          <w:rFonts w:ascii="楷体_GB2312" w:hAnsi="宋体" w:eastAsia="楷体_GB2312"/>
          <w:bCs/>
          <w:color w:val="auto"/>
          <w:sz w:val="24"/>
        </w:rPr>
      </w:pPr>
      <w:r>
        <w:rPr>
          <w:rFonts w:hint="eastAsia" w:ascii="楷体_GB2312" w:hAnsi="宋体" w:eastAsia="楷体_GB2312"/>
          <w:bCs/>
          <w:color w:val="auto"/>
          <w:sz w:val="24"/>
        </w:rPr>
        <w:t>要广泛吸纳行业专家以及专业教师参与人才培养方案论证与修订。各专业须成立专业建设指导委员会，原则上专业建设指导委员会委员不少于7人，其中校外委员不少于2人，行业企业和用人单位委员不少于2人。</w:t>
      </w:r>
    </w:p>
    <w:p>
      <w:pPr>
        <w:numPr>
          <w:ilvl w:val="0"/>
          <w:numId w:val="0"/>
        </w:numPr>
        <w:spacing w:line="300" w:lineRule="auto"/>
        <w:rPr>
          <w:rFonts w:ascii="楷体_GB2312" w:hAnsi="宋体" w:eastAsia="楷体_GB2312"/>
          <w:b/>
          <w:color w:val="auto"/>
          <w:sz w:val="28"/>
          <w:szCs w:val="28"/>
        </w:rPr>
      </w:pPr>
      <w:r>
        <w:rPr>
          <w:rFonts w:hint="eastAsia" w:ascii="楷体_GB2312" w:hAnsi="宋体" w:eastAsia="楷体_GB2312"/>
          <w:b/>
          <w:color w:val="auto"/>
          <w:sz w:val="28"/>
          <w:szCs w:val="28"/>
          <w:lang w:val="en-US" w:eastAsia="zh-CN"/>
        </w:rPr>
        <w:t xml:space="preserve">    （二）</w:t>
      </w:r>
      <w:r>
        <w:rPr>
          <w:rFonts w:hint="eastAsia" w:ascii="楷体_GB2312" w:hAnsi="宋体" w:eastAsia="楷体_GB2312"/>
          <w:b/>
          <w:color w:val="auto"/>
          <w:sz w:val="28"/>
          <w:szCs w:val="28"/>
        </w:rPr>
        <w:t>以课程体系为主线，科学合理设置模块课程</w:t>
      </w:r>
    </w:p>
    <w:p>
      <w:pPr>
        <w:spacing w:line="300" w:lineRule="auto"/>
        <w:ind w:firstLine="562"/>
        <w:rPr>
          <w:rFonts w:ascii="楷体_GB2312" w:hAnsi="宋体" w:eastAsia="楷体_GB2312"/>
          <w:bCs/>
          <w:color w:val="auto"/>
          <w:sz w:val="28"/>
          <w:szCs w:val="28"/>
        </w:rPr>
      </w:pPr>
      <w:r>
        <w:rPr>
          <w:rFonts w:hint="eastAsia" w:ascii="楷体_GB2312" w:hAnsi="宋体" w:eastAsia="楷体_GB2312"/>
          <w:bCs/>
          <w:color w:val="auto"/>
          <w:sz w:val="24"/>
        </w:rPr>
        <w:t>根据人才培养目标及“三大平台”+“九大模块”的课程体系，重点论证各模块课程设置的合理性，确定每门课程或每个培养环节的目标与作用，注意内在的知识衔接，保证知识的系统性。基本素质平台设置的课程应侧重培养学生的学习能力、责任感、创新思维等基本素养，专业知识平台设置的课程应侧重培养学生的专业基础与专业素养；应用能力平台设置的课程应侧重培养动手能力、实践能力。</w:t>
      </w:r>
    </w:p>
    <w:p>
      <w:pPr>
        <w:numPr>
          <w:ilvl w:val="0"/>
          <w:numId w:val="0"/>
        </w:numPr>
        <w:spacing w:line="300" w:lineRule="auto"/>
        <w:rPr>
          <w:rFonts w:ascii="楷体_GB2312" w:hAnsi="宋体" w:eastAsia="楷体_GB2312"/>
          <w:b/>
          <w:color w:val="auto"/>
          <w:sz w:val="28"/>
          <w:szCs w:val="28"/>
        </w:rPr>
      </w:pPr>
      <w:r>
        <w:rPr>
          <w:rFonts w:hint="eastAsia" w:ascii="楷体_GB2312" w:hAnsi="宋体" w:eastAsia="楷体_GB2312"/>
          <w:b/>
          <w:color w:val="auto"/>
          <w:sz w:val="28"/>
          <w:szCs w:val="28"/>
          <w:lang w:val="en-US" w:eastAsia="zh-CN"/>
        </w:rPr>
        <w:t xml:space="preserve">    （三）</w:t>
      </w:r>
      <w:r>
        <w:rPr>
          <w:rFonts w:hint="eastAsia" w:ascii="楷体_GB2312" w:hAnsi="宋体" w:eastAsia="楷体_GB2312"/>
          <w:b/>
          <w:color w:val="auto"/>
          <w:sz w:val="28"/>
          <w:szCs w:val="28"/>
        </w:rPr>
        <w:t>改革教学方法与考核模式</w:t>
      </w:r>
    </w:p>
    <w:p>
      <w:pPr>
        <w:spacing w:line="300" w:lineRule="auto"/>
        <w:ind w:firstLine="562"/>
        <w:rPr>
          <w:rFonts w:ascii="楷体_GB2312" w:hAnsi="宋体" w:eastAsia="楷体_GB2312"/>
          <w:bCs/>
          <w:color w:val="auto"/>
          <w:sz w:val="24"/>
        </w:rPr>
      </w:pPr>
      <w:r>
        <w:rPr>
          <w:rFonts w:hint="eastAsia" w:ascii="楷体_GB2312" w:hAnsi="宋体" w:eastAsia="楷体_GB2312"/>
          <w:bCs/>
          <w:color w:val="auto"/>
          <w:sz w:val="24"/>
        </w:rPr>
        <w:t>大力推进教学方法改革，提倡启发式、探究式、讨论式、项目式等教学方法和合作学习方式，推动教师把国际前沿学术发展、最新研究成果和实践经验融入课堂教学，激发学生的学习兴趣，着力培养学生的学习能力、实践能力和创新能力。运用大数据技术，掌握不同学生学习需求和规律，为学生自主学习提供更加丰富多样的教育资源。改革考核内容和方式，由单一考核方式向多元考核方式转变，由注重结果考核向注重过程考核转变，注重考查学生运用知识分析、解决问题的能力，探索非标准答案的考试方式。</w:t>
      </w:r>
    </w:p>
    <w:p>
      <w:pPr>
        <w:numPr>
          <w:ilvl w:val="0"/>
          <w:numId w:val="0"/>
        </w:numPr>
        <w:spacing w:line="300" w:lineRule="auto"/>
        <w:rPr>
          <w:rFonts w:ascii="楷体_GB2312" w:hAnsi="宋体" w:eastAsia="楷体_GB2312"/>
          <w:b/>
          <w:color w:val="auto"/>
          <w:sz w:val="28"/>
          <w:szCs w:val="28"/>
        </w:rPr>
      </w:pPr>
      <w:r>
        <w:rPr>
          <w:rFonts w:hint="eastAsia" w:ascii="楷体_GB2312" w:hAnsi="宋体" w:eastAsia="楷体_GB2312"/>
          <w:b/>
          <w:color w:val="auto"/>
          <w:sz w:val="28"/>
          <w:szCs w:val="28"/>
          <w:lang w:val="en-US" w:eastAsia="zh-CN"/>
        </w:rPr>
        <w:t xml:space="preserve">    （四）</w:t>
      </w:r>
      <w:r>
        <w:rPr>
          <w:rFonts w:hint="eastAsia" w:ascii="楷体_GB2312" w:hAnsi="宋体" w:eastAsia="楷体_GB2312"/>
          <w:b/>
          <w:color w:val="auto"/>
          <w:sz w:val="28"/>
          <w:szCs w:val="28"/>
        </w:rPr>
        <w:t>推进产教融合，强化实践教学</w:t>
      </w:r>
    </w:p>
    <w:p>
      <w:pPr>
        <w:spacing w:line="300" w:lineRule="auto"/>
        <w:ind w:firstLine="541"/>
        <w:rPr>
          <w:rFonts w:ascii="楷体_GB2312" w:hAnsi="宋体" w:eastAsia="楷体_GB2312"/>
          <w:bCs/>
          <w:color w:val="auto"/>
          <w:sz w:val="24"/>
        </w:rPr>
      </w:pPr>
      <w:r>
        <w:rPr>
          <w:rFonts w:hint="eastAsia" w:ascii="楷体_GB2312" w:hAnsi="宋体" w:eastAsia="楷体_GB2312"/>
          <w:bCs/>
          <w:color w:val="auto"/>
          <w:sz w:val="24"/>
        </w:rPr>
        <w:t>推进产教深度融合，建立校企合作的协同育人新机制，实现人才培养与产业发展需求对接。每个专业至少与1个单位/行业/企业共建长期稳定的合作关系，遵循“共同制定人才培养方案”、“共同开发专业课程”、“共同参与专业培养过程”、“共同评价人才培养质量”的“四共同”模式，实现真正意义上的协同育人新模式，推进专业课程内容与职业标准对接、教学过程与生产过程对接。强化实践教学，提高综合性、设计性实验教学的比重，合理设置实践环节，提高学生实践能力。原则上，经、管、文、法、艺等学科的专业实践教学学分占总学分比例不低于30%，理工科专业实践教学学分占总学分比例不低于35%。</w:t>
      </w:r>
    </w:p>
    <w:p>
      <w:pPr>
        <w:numPr>
          <w:ilvl w:val="0"/>
          <w:numId w:val="0"/>
        </w:numPr>
        <w:spacing w:line="300" w:lineRule="auto"/>
        <w:rPr>
          <w:rFonts w:ascii="楷体_GB2312" w:hAnsi="宋体" w:eastAsia="楷体_GB2312"/>
          <w:b/>
          <w:color w:val="auto"/>
          <w:sz w:val="28"/>
          <w:szCs w:val="28"/>
        </w:rPr>
      </w:pPr>
      <w:r>
        <w:rPr>
          <w:rFonts w:hint="eastAsia" w:ascii="楷体_GB2312" w:hAnsi="宋体" w:eastAsia="楷体_GB2312"/>
          <w:b/>
          <w:color w:val="auto"/>
          <w:sz w:val="28"/>
          <w:szCs w:val="28"/>
          <w:lang w:val="en-US" w:eastAsia="zh-CN"/>
        </w:rPr>
        <w:t xml:space="preserve">    （五）</w:t>
      </w:r>
      <w:r>
        <w:rPr>
          <w:rFonts w:hint="eastAsia" w:ascii="楷体_GB2312" w:hAnsi="宋体" w:eastAsia="楷体_GB2312"/>
          <w:b/>
          <w:color w:val="auto"/>
          <w:sz w:val="28"/>
          <w:szCs w:val="28"/>
        </w:rPr>
        <w:t>扎实推进创新创业教育，促进专业教育与创新创业教育有机融合</w:t>
      </w:r>
    </w:p>
    <w:p>
      <w:pPr>
        <w:spacing w:line="300" w:lineRule="auto"/>
        <w:ind w:firstLine="521"/>
        <w:rPr>
          <w:rFonts w:ascii="楷体_GB2312" w:hAnsi="宋体" w:eastAsia="楷体_GB2312"/>
          <w:bCs/>
          <w:color w:val="auto"/>
          <w:sz w:val="24"/>
        </w:rPr>
      </w:pPr>
      <w:r>
        <w:rPr>
          <w:rFonts w:hint="eastAsia" w:ascii="楷体_GB2312" w:hAnsi="宋体" w:eastAsia="楷体_GB2312"/>
          <w:bCs/>
          <w:color w:val="auto"/>
          <w:sz w:val="24"/>
        </w:rPr>
        <w:t>根据人才培养定位和创新创业教育目标要求，促进专业教育与创新创业教育有机融合，调整专业课程设置，挖掘和充实各类专业课程的创新创业教育资源，在传授专业知识过程中加强创新创业教育。培养学生实践能力与创新意识，鼓励学生参加省大学生创新性实验计划项目、教育行政部门主办（认可）的学科竞赛、学院创意创新大赛等。成绩优良者可申请项目奖励学分，所获奖励学分可替代专业选修课或通识教育课学分，凡同一项目多次获奖的，按最高级别奖励，不重复计算。</w:t>
      </w:r>
    </w:p>
    <w:p>
      <w:pPr>
        <w:spacing w:line="300" w:lineRule="auto"/>
        <w:ind w:firstLine="521"/>
        <w:rPr>
          <w:rFonts w:ascii="楷体_GB2312" w:hAnsi="宋体" w:eastAsia="楷体_GB2312"/>
          <w:bCs/>
          <w:color w:val="auto"/>
          <w:sz w:val="24"/>
        </w:rPr>
      </w:pPr>
      <w:r>
        <w:rPr>
          <w:rFonts w:hint="eastAsia" w:ascii="楷体_GB2312" w:hAnsi="宋体" w:eastAsia="楷体_GB2312"/>
          <w:bCs/>
          <w:color w:val="auto"/>
          <w:sz w:val="24"/>
        </w:rPr>
        <w:t>开设自主学习课程，培养学生自主学习能力，实施“扬长”教育，培养特色人才。该课程只有学分规定，无学时要求、无教师授课、无卷面考试。学生可以选择自己最感兴趣的方向或领域自主学习或研究，以发表作品、研究报告或方案策划作为学习成果，由学院组织专业教师或业界专家进行评审，给出成绩。自主学习课程成绩可替代专业选修课或通识教育课学分，亦可作为其他课程的加分依据。</w:t>
      </w:r>
    </w:p>
    <w:p>
      <w:pPr>
        <w:numPr>
          <w:ilvl w:val="0"/>
          <w:numId w:val="0"/>
        </w:numPr>
        <w:spacing w:line="300" w:lineRule="auto"/>
        <w:rPr>
          <w:rFonts w:ascii="楷体_GB2312" w:hAnsi="宋体" w:eastAsia="楷体_GB2312"/>
          <w:b/>
          <w:color w:val="auto"/>
          <w:sz w:val="28"/>
          <w:szCs w:val="28"/>
        </w:rPr>
      </w:pPr>
      <w:r>
        <w:rPr>
          <w:rFonts w:hint="eastAsia" w:ascii="楷体_GB2312" w:hAnsi="宋体" w:eastAsia="楷体_GB2312"/>
          <w:b/>
          <w:color w:val="auto"/>
          <w:sz w:val="28"/>
          <w:szCs w:val="28"/>
          <w:lang w:val="en-US" w:eastAsia="zh-CN"/>
        </w:rPr>
        <w:t xml:space="preserve">    （六）</w:t>
      </w:r>
      <w:r>
        <w:rPr>
          <w:rFonts w:hint="eastAsia" w:ascii="楷体_GB2312" w:hAnsi="宋体" w:eastAsia="楷体_GB2312"/>
          <w:b/>
          <w:color w:val="auto"/>
          <w:sz w:val="28"/>
          <w:szCs w:val="28"/>
        </w:rPr>
        <w:t>传承发展中国传统文化，完善学生人格修养</w:t>
      </w:r>
    </w:p>
    <w:p>
      <w:pPr>
        <w:spacing w:line="300" w:lineRule="auto"/>
        <w:rPr>
          <w:rFonts w:ascii="楷体_GB2312" w:hAnsi="宋体" w:eastAsia="楷体_GB2312"/>
          <w:bCs/>
          <w:color w:val="auto"/>
          <w:sz w:val="24"/>
        </w:rPr>
      </w:pPr>
      <w:r>
        <w:rPr>
          <w:rFonts w:hint="eastAsia" w:ascii="楷体_GB2312" w:hAnsi="宋体" w:eastAsia="楷体_GB2312"/>
          <w:bCs/>
          <w:color w:val="auto"/>
          <w:sz w:val="24"/>
          <w:lang w:val="en-US" w:eastAsia="zh-CN"/>
        </w:rPr>
        <w:t xml:space="preserve">    </w:t>
      </w:r>
      <w:r>
        <w:rPr>
          <w:rFonts w:hint="eastAsia" w:ascii="楷体_GB2312" w:hAnsi="宋体" w:eastAsia="楷体_GB2312"/>
          <w:bCs/>
          <w:color w:val="auto"/>
          <w:sz w:val="24"/>
        </w:rPr>
        <w:t>把中华优秀传统文化教育系统融入课程，增强学生传承弘扬中华优秀传统文化的责任感和使命感。在通识教育课程“文史经典与文化传承”模块中，开设中华优秀传统文化类必修课程，拓宽中华优秀传统文化选修课覆盖面，引导学生完善人格修养，强化学生文化主体意识和文化创新意识。</w:t>
      </w:r>
    </w:p>
    <w:p>
      <w:pPr>
        <w:spacing w:line="300" w:lineRule="auto"/>
        <w:ind w:firstLine="441" w:firstLineChars="147"/>
        <w:rPr>
          <w:rFonts w:hint="eastAsia" w:ascii="楷体_GB2312" w:hAnsi="宋体" w:eastAsia="楷体_GB2312"/>
          <w:b/>
          <w:sz w:val="30"/>
          <w:szCs w:val="30"/>
        </w:rPr>
      </w:pPr>
      <w:r>
        <w:rPr>
          <w:rFonts w:hint="eastAsia" w:ascii="楷体_GB2312" w:hAnsi="宋体" w:eastAsia="楷体_GB2312"/>
          <w:b/>
          <w:sz w:val="30"/>
          <w:szCs w:val="30"/>
        </w:rPr>
        <w:t>三、培养方案的基本框架</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1、基本内容</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（1）学制；</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（2）授予学位；</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（3）培养目标；</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（4）业务基本要求；</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（5）主干课程；</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（6）毕业最低学分要求；</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（7）课程设置、各教学环节安排。</w:t>
      </w:r>
    </w:p>
    <w:p>
      <w:pPr>
        <w:spacing w:line="440" w:lineRule="exact"/>
        <w:rPr>
          <w:rFonts w:hint="eastAsia" w:ascii="楷体_GB2312" w:hAnsi="宋体" w:eastAsia="楷体_GB2312"/>
          <w:sz w:val="24"/>
        </w:rPr>
      </w:pPr>
      <w:r>
        <w:rPr>
          <w:rFonts w:hint="eastAsia" w:ascii="楷体_GB2312" w:hAnsi="宋体" w:eastAsia="楷体_GB2312"/>
          <w:sz w:val="24"/>
        </w:rPr>
        <w:t xml:space="preserve">    2、课程体系与基本要求</w:t>
      </w:r>
    </w:p>
    <w:p>
      <w:pPr>
        <w:snapToGrid w:val="0"/>
        <w:spacing w:line="300" w:lineRule="auto"/>
        <w:ind w:firstLine="480" w:firstLineChars="200"/>
        <w:rPr>
          <w:rFonts w:hint="eastAsia" w:ascii="楷体_GB2312" w:hAnsi="宋体" w:eastAsia="楷体_GB2312"/>
          <w:sz w:val="24"/>
        </w:rPr>
      </w:pPr>
      <w:r>
        <w:rPr>
          <w:rFonts w:hint="eastAsia" w:ascii="楷体_GB2312" w:hAnsi="宋体" w:eastAsia="楷体_GB2312"/>
          <w:sz w:val="24"/>
        </w:rPr>
        <w:t>（1）</w:t>
      </w:r>
      <w:r>
        <w:rPr>
          <w:rFonts w:hint="eastAsia" w:ascii="楷体_GB2312" w:hAnsi="宋体" w:eastAsia="楷体_GB2312"/>
          <w:sz w:val="24"/>
          <w:lang w:eastAsia="zh-CN"/>
        </w:rPr>
        <w:t>本科</w:t>
      </w:r>
      <w:r>
        <w:rPr>
          <w:rFonts w:hint="eastAsia" w:ascii="楷体_GB2312" w:hAnsi="宋体" w:eastAsia="楷体_GB2312" w:cs="宋体"/>
          <w:kern w:val="0"/>
          <w:sz w:val="24"/>
        </w:rPr>
        <w:t>课程体系</w:t>
      </w:r>
      <w:r>
        <w:rPr>
          <w:rFonts w:hint="eastAsia" w:ascii="楷体_GB2312" w:hAnsi="宋体" w:eastAsia="楷体_GB2312"/>
          <w:sz w:val="24"/>
        </w:rPr>
        <w:t>由“三大平台”+“九大课程模块”组成。即“基本素质平台、专业知识平台、应用能力平台”三大平台，以及“基础通识模块、创新创业模块、人文与科学模块、拓展通识模块、群专业基础模块、专业基础模块、基本能力模块、践训能力模块、岗位能力模块”九大课程模块。结构上“三个”平台的课程没有明显的层次性，既相互独立，又有机结合，体现“素质、知识、能力”并重并行之原则。</w:t>
      </w:r>
      <w:r>
        <w:rPr>
          <w:rFonts w:hint="eastAsia" w:ascii="楷体_GB2312" w:hAnsi="宋体" w:eastAsia="楷体_GB2312"/>
          <w:sz w:val="24"/>
          <w:lang w:eastAsia="zh-CN"/>
        </w:rPr>
        <w:t>专升本可只设置专业知识平台与应用能力平台。</w:t>
      </w: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p>
      <w:pPr>
        <w:snapToGrid w:val="0"/>
        <w:spacing w:line="300" w:lineRule="auto"/>
        <w:ind w:firstLine="480" w:firstLineChars="200"/>
        <w:rPr>
          <w:rFonts w:hint="eastAsia" w:ascii="楷体_GB2312" w:hAnsi="宋体" w:eastAsia="楷体_GB2312"/>
          <w:sz w:val="24"/>
        </w:rPr>
      </w:pPr>
    </w:p>
    <w:tbl>
      <w:tblPr>
        <w:tblStyle w:val="11"/>
        <w:tblW w:w="9318" w:type="dxa"/>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35"/>
        <w:gridCol w:w="2117"/>
        <w:gridCol w:w="720"/>
        <w:gridCol w:w="3420"/>
        <w:gridCol w:w="900"/>
        <w:gridCol w:w="9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trPr>
        <w:tc>
          <w:tcPr>
            <w:tcW w:w="1235" w:type="dxa"/>
            <w:shd w:val="clear" w:color="auto" w:fill="E6E6E6"/>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知识平台</w:t>
            </w:r>
          </w:p>
        </w:tc>
        <w:tc>
          <w:tcPr>
            <w:tcW w:w="2117" w:type="dxa"/>
            <w:shd w:val="clear" w:color="auto" w:fill="E6E6E6"/>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课程模块</w:t>
            </w:r>
          </w:p>
        </w:tc>
        <w:tc>
          <w:tcPr>
            <w:tcW w:w="720" w:type="dxa"/>
            <w:shd w:val="clear" w:color="auto" w:fill="E6E6E6"/>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模块</w:t>
            </w:r>
          </w:p>
          <w:p>
            <w:pPr>
              <w:snapToGrid w:val="0"/>
              <w:jc w:val="center"/>
              <w:rPr>
                <w:rFonts w:hint="eastAsia" w:ascii="楷体_GB2312" w:hAnsi="宋体" w:eastAsia="楷体_GB2312"/>
                <w:szCs w:val="21"/>
              </w:rPr>
            </w:pPr>
            <w:r>
              <w:rPr>
                <w:rFonts w:hint="eastAsia" w:ascii="楷体_GB2312" w:hAnsi="宋体" w:eastAsia="楷体_GB2312" w:cs="仿宋_GB2312"/>
                <w:szCs w:val="21"/>
              </w:rPr>
              <w:t>学分</w:t>
            </w:r>
          </w:p>
        </w:tc>
        <w:tc>
          <w:tcPr>
            <w:tcW w:w="3420" w:type="dxa"/>
            <w:shd w:val="clear" w:color="auto" w:fill="E6E6E6"/>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课程名称或课程类别</w:t>
            </w:r>
          </w:p>
        </w:tc>
        <w:tc>
          <w:tcPr>
            <w:tcW w:w="900" w:type="dxa"/>
            <w:shd w:val="clear" w:color="auto" w:fill="E6E6E6"/>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课程</w:t>
            </w:r>
          </w:p>
          <w:p>
            <w:pPr>
              <w:snapToGrid w:val="0"/>
              <w:jc w:val="center"/>
              <w:rPr>
                <w:rFonts w:hint="eastAsia" w:ascii="楷体_GB2312" w:hAnsi="宋体" w:eastAsia="楷体_GB2312"/>
                <w:szCs w:val="21"/>
              </w:rPr>
            </w:pPr>
            <w:r>
              <w:rPr>
                <w:rFonts w:hint="eastAsia" w:ascii="楷体_GB2312" w:hAnsi="宋体" w:eastAsia="楷体_GB2312" w:cs="仿宋_GB2312"/>
                <w:szCs w:val="21"/>
              </w:rPr>
              <w:t>学分</w:t>
            </w:r>
          </w:p>
        </w:tc>
        <w:tc>
          <w:tcPr>
            <w:tcW w:w="926" w:type="dxa"/>
            <w:shd w:val="clear" w:color="auto" w:fill="E6E6E6"/>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开课</w:t>
            </w:r>
          </w:p>
          <w:p>
            <w:pPr>
              <w:snapToGrid w:val="0"/>
              <w:jc w:val="center"/>
              <w:rPr>
                <w:rFonts w:hint="eastAsia" w:ascii="楷体_GB2312" w:hAnsi="宋体" w:eastAsia="楷体_GB2312"/>
                <w:szCs w:val="21"/>
              </w:rPr>
            </w:pPr>
            <w:r>
              <w:rPr>
                <w:rFonts w:hint="eastAsia" w:ascii="楷体_GB2312" w:hAnsi="宋体" w:eastAsia="楷体_GB2312" w:cs="仿宋_GB2312"/>
                <w:szCs w:val="21"/>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8" w:hRule="atLeast"/>
        </w:trPr>
        <w:tc>
          <w:tcPr>
            <w:tcW w:w="1235" w:type="dxa"/>
            <w:vMerge w:val="restart"/>
            <w:vAlign w:val="center"/>
          </w:tcPr>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基本素质</w:t>
            </w:r>
          </w:p>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平台</w:t>
            </w: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基础通识模块</w:t>
            </w:r>
          </w:p>
        </w:tc>
        <w:tc>
          <w:tcPr>
            <w:tcW w:w="720" w:type="dxa"/>
            <w:vAlign w:val="center"/>
          </w:tcPr>
          <w:p>
            <w:pPr>
              <w:snapToGrid w:val="0"/>
              <w:spacing w:line="360" w:lineRule="auto"/>
              <w:jc w:val="center"/>
              <w:rPr>
                <w:rFonts w:hint="eastAsia" w:ascii="楷体_GB2312" w:hAnsi="宋体" w:eastAsia="楷体_GB2312"/>
                <w:szCs w:val="21"/>
              </w:rPr>
            </w:pPr>
          </w:p>
        </w:tc>
        <w:tc>
          <w:tcPr>
            <w:tcW w:w="3420"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思政</w:t>
            </w:r>
          </w:p>
          <w:p>
            <w:pPr>
              <w:snapToGrid w:val="0"/>
              <w:rPr>
                <w:rFonts w:hint="eastAsia" w:ascii="楷体_GB2312" w:hAnsi="宋体" w:eastAsia="楷体_GB2312"/>
                <w:szCs w:val="21"/>
              </w:rPr>
            </w:pPr>
            <w:r>
              <w:rPr>
                <w:rFonts w:hint="eastAsia" w:ascii="楷体_GB2312" w:hAnsi="宋体" w:eastAsia="楷体_GB2312" w:cs="仿宋_GB2312"/>
                <w:szCs w:val="21"/>
              </w:rPr>
              <w:t>体育</w:t>
            </w:r>
          </w:p>
          <w:p>
            <w:pPr>
              <w:snapToGrid w:val="0"/>
              <w:rPr>
                <w:rFonts w:hint="eastAsia" w:ascii="楷体_GB2312" w:hAnsi="宋体" w:eastAsia="楷体_GB2312"/>
                <w:szCs w:val="21"/>
              </w:rPr>
            </w:pPr>
            <w:r>
              <w:rPr>
                <w:rFonts w:hint="eastAsia" w:ascii="楷体_GB2312" w:hAnsi="宋体" w:eastAsia="楷体_GB2312" w:cs="仿宋_GB2312"/>
                <w:szCs w:val="21"/>
              </w:rPr>
              <w:t>军事理论</w:t>
            </w:r>
          </w:p>
          <w:p>
            <w:pPr>
              <w:snapToGrid w:val="0"/>
              <w:rPr>
                <w:rFonts w:hint="eastAsia" w:ascii="楷体_GB2312" w:hAnsi="宋体" w:eastAsia="楷体_GB2312"/>
                <w:szCs w:val="21"/>
              </w:rPr>
            </w:pPr>
            <w:r>
              <w:rPr>
                <w:rFonts w:hint="eastAsia" w:ascii="楷体_GB2312" w:hAnsi="宋体" w:eastAsia="楷体_GB2312" w:cs="仿宋_GB2312"/>
                <w:szCs w:val="21"/>
              </w:rPr>
              <w:t>数学</w:t>
            </w:r>
          </w:p>
          <w:p>
            <w:pPr>
              <w:snapToGrid w:val="0"/>
              <w:rPr>
                <w:rFonts w:hint="eastAsia" w:ascii="楷体_GB2312" w:hAnsi="宋体" w:eastAsia="楷体_GB2312"/>
                <w:szCs w:val="21"/>
              </w:rPr>
            </w:pPr>
            <w:r>
              <w:rPr>
                <w:rFonts w:hint="eastAsia" w:ascii="楷体_GB2312" w:hAnsi="宋体" w:eastAsia="楷体_GB2312" w:cs="仿宋_GB2312"/>
                <w:szCs w:val="21"/>
              </w:rPr>
              <w:t>英语</w:t>
            </w:r>
          </w:p>
          <w:p>
            <w:pPr>
              <w:snapToGrid w:val="0"/>
              <w:rPr>
                <w:rFonts w:hint="eastAsia" w:ascii="楷体_GB2312" w:hAnsi="宋体" w:eastAsia="楷体_GB2312"/>
                <w:szCs w:val="21"/>
              </w:rPr>
            </w:pPr>
            <w:r>
              <w:rPr>
                <w:rFonts w:hint="eastAsia" w:ascii="楷体_GB2312" w:hAnsi="宋体" w:eastAsia="楷体_GB2312" w:cs="仿宋_GB2312"/>
                <w:szCs w:val="21"/>
              </w:rPr>
              <w:t>计算机</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28" w:hRule="atLeast"/>
        </w:trPr>
        <w:tc>
          <w:tcPr>
            <w:tcW w:w="1235" w:type="dxa"/>
            <w:vMerge w:val="continue"/>
            <w:vAlign w:val="center"/>
          </w:tcPr>
          <w:p>
            <w:pPr>
              <w:snapToGrid w:val="0"/>
              <w:spacing w:line="360" w:lineRule="auto"/>
              <w:jc w:val="center"/>
              <w:rPr>
                <w:rFonts w:hint="eastAsia" w:ascii="楷体_GB2312" w:hAnsi="宋体" w:eastAsia="楷体_GB2312"/>
                <w:szCs w:val="21"/>
              </w:rPr>
            </w:pP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拓展通识模块</w:t>
            </w:r>
          </w:p>
        </w:tc>
        <w:tc>
          <w:tcPr>
            <w:tcW w:w="720" w:type="dxa"/>
            <w:vAlign w:val="center"/>
          </w:tcPr>
          <w:p>
            <w:pPr>
              <w:snapToGrid w:val="0"/>
              <w:spacing w:line="360" w:lineRule="auto"/>
              <w:jc w:val="center"/>
              <w:rPr>
                <w:rFonts w:hint="eastAsia" w:ascii="楷体_GB2312" w:hAnsi="宋体" w:eastAsia="楷体_GB2312"/>
                <w:szCs w:val="21"/>
              </w:rPr>
            </w:pPr>
          </w:p>
        </w:tc>
        <w:tc>
          <w:tcPr>
            <w:tcW w:w="3420"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英语拓展类</w:t>
            </w:r>
          </w:p>
          <w:p>
            <w:pPr>
              <w:snapToGrid w:val="0"/>
              <w:rPr>
                <w:rFonts w:hint="eastAsia" w:ascii="楷体_GB2312" w:hAnsi="宋体" w:eastAsia="楷体_GB2312"/>
                <w:szCs w:val="21"/>
              </w:rPr>
            </w:pPr>
            <w:r>
              <w:rPr>
                <w:rFonts w:hint="eastAsia" w:ascii="楷体_GB2312" w:hAnsi="宋体" w:eastAsia="楷体_GB2312" w:cs="仿宋_GB2312"/>
                <w:szCs w:val="21"/>
              </w:rPr>
              <w:t>数学拓展类</w:t>
            </w:r>
          </w:p>
          <w:p>
            <w:pPr>
              <w:snapToGrid w:val="0"/>
              <w:rPr>
                <w:rFonts w:hint="eastAsia" w:ascii="楷体_GB2312" w:hAnsi="宋体" w:eastAsia="楷体_GB2312"/>
                <w:szCs w:val="21"/>
              </w:rPr>
            </w:pPr>
            <w:r>
              <w:rPr>
                <w:rFonts w:hint="eastAsia" w:ascii="楷体_GB2312" w:hAnsi="宋体" w:eastAsia="楷体_GB2312" w:cs="仿宋_GB2312"/>
                <w:szCs w:val="21"/>
              </w:rPr>
              <w:t>计算机拓展类</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atLeast"/>
        </w:trPr>
        <w:tc>
          <w:tcPr>
            <w:tcW w:w="1235" w:type="dxa"/>
            <w:vMerge w:val="continue"/>
            <w:vAlign w:val="center"/>
          </w:tcPr>
          <w:p>
            <w:pPr>
              <w:snapToGrid w:val="0"/>
              <w:spacing w:line="360" w:lineRule="auto"/>
              <w:jc w:val="center"/>
              <w:rPr>
                <w:rFonts w:hint="eastAsia" w:ascii="楷体_GB2312" w:hAnsi="宋体" w:eastAsia="楷体_GB2312"/>
                <w:szCs w:val="21"/>
              </w:rPr>
            </w:pP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创新创业模块</w:t>
            </w:r>
          </w:p>
        </w:tc>
        <w:tc>
          <w:tcPr>
            <w:tcW w:w="720" w:type="dxa"/>
            <w:vAlign w:val="center"/>
          </w:tcPr>
          <w:p>
            <w:pPr>
              <w:snapToGrid w:val="0"/>
              <w:spacing w:line="360" w:lineRule="auto"/>
              <w:jc w:val="center"/>
              <w:rPr>
                <w:rFonts w:hint="eastAsia" w:ascii="楷体_GB2312" w:hAnsi="宋体" w:eastAsia="楷体_GB2312"/>
                <w:szCs w:val="21"/>
              </w:rPr>
            </w:pPr>
          </w:p>
        </w:tc>
        <w:tc>
          <w:tcPr>
            <w:tcW w:w="3420" w:type="dxa"/>
            <w:vAlign w:val="center"/>
          </w:tcPr>
          <w:p>
            <w:pPr>
              <w:snapToGrid w:val="0"/>
              <w:rPr>
                <w:rFonts w:hint="eastAsia" w:ascii="楷体_GB2312" w:hAnsi="宋体" w:eastAsia="楷体_GB2312" w:cs="仿宋_GB2312"/>
                <w:szCs w:val="21"/>
              </w:rPr>
            </w:pPr>
            <w:r>
              <w:rPr>
                <w:rFonts w:hint="eastAsia" w:ascii="楷体_GB2312" w:hAnsi="宋体" w:eastAsia="楷体_GB2312" w:cs="仿宋_GB2312"/>
                <w:szCs w:val="21"/>
              </w:rPr>
              <w:t>创意与创新</w:t>
            </w:r>
          </w:p>
          <w:p>
            <w:pPr>
              <w:snapToGrid w:val="0"/>
              <w:rPr>
                <w:rFonts w:hint="eastAsia" w:ascii="楷体_GB2312" w:hAnsi="宋体" w:eastAsia="楷体_GB2312"/>
                <w:szCs w:val="21"/>
              </w:rPr>
            </w:pPr>
            <w:r>
              <w:rPr>
                <w:rFonts w:hint="eastAsia" w:ascii="楷体_GB2312" w:hAnsi="宋体" w:eastAsia="楷体_GB2312" w:cs="仿宋_GB2312"/>
                <w:szCs w:val="21"/>
              </w:rPr>
              <w:t>大学生职业生涯规划与管理</w:t>
            </w:r>
          </w:p>
          <w:p>
            <w:pPr>
              <w:snapToGrid w:val="0"/>
              <w:rPr>
                <w:rFonts w:hint="eastAsia" w:ascii="楷体_GB2312" w:hAnsi="宋体" w:eastAsia="楷体_GB2312"/>
                <w:szCs w:val="21"/>
              </w:rPr>
            </w:pPr>
            <w:r>
              <w:rPr>
                <w:rFonts w:hint="eastAsia" w:ascii="楷体_GB2312" w:hAnsi="宋体" w:eastAsia="楷体_GB2312" w:cs="仿宋_GB2312"/>
                <w:szCs w:val="21"/>
              </w:rPr>
              <w:t>大学生就业指导</w:t>
            </w:r>
          </w:p>
          <w:p>
            <w:pPr>
              <w:snapToGrid w:val="0"/>
              <w:rPr>
                <w:rFonts w:hint="eastAsia" w:ascii="楷体_GB2312" w:hAnsi="宋体" w:eastAsia="楷体_GB2312"/>
                <w:szCs w:val="21"/>
              </w:rPr>
            </w:pPr>
            <w:r>
              <w:rPr>
                <w:rFonts w:hint="eastAsia" w:ascii="楷体_GB2312" w:hAnsi="宋体" w:eastAsia="楷体_GB2312" w:cs="仿宋_GB2312"/>
                <w:szCs w:val="21"/>
              </w:rPr>
              <w:t>其它创新创业类课程</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7" w:hRule="atLeast"/>
        </w:trPr>
        <w:tc>
          <w:tcPr>
            <w:tcW w:w="1235" w:type="dxa"/>
            <w:vMerge w:val="continue"/>
            <w:vAlign w:val="center"/>
          </w:tcPr>
          <w:p>
            <w:pPr>
              <w:snapToGrid w:val="0"/>
              <w:spacing w:line="360" w:lineRule="auto"/>
              <w:jc w:val="center"/>
              <w:rPr>
                <w:rFonts w:hint="eastAsia" w:ascii="楷体_GB2312" w:hAnsi="宋体" w:eastAsia="楷体_GB2312"/>
                <w:szCs w:val="21"/>
              </w:rPr>
            </w:pP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lang w:eastAsia="zh-CN"/>
              </w:rPr>
              <w:t>素质通识</w:t>
            </w:r>
            <w:r>
              <w:rPr>
                <w:rFonts w:hint="eastAsia" w:ascii="楷体_GB2312" w:hAnsi="宋体" w:eastAsia="楷体_GB2312" w:cs="仿宋_GB2312"/>
                <w:szCs w:val="21"/>
              </w:rPr>
              <w:t>模块</w:t>
            </w:r>
          </w:p>
        </w:tc>
        <w:tc>
          <w:tcPr>
            <w:tcW w:w="720" w:type="dxa"/>
            <w:vAlign w:val="center"/>
          </w:tcPr>
          <w:p>
            <w:pPr>
              <w:snapToGrid w:val="0"/>
              <w:jc w:val="center"/>
              <w:rPr>
                <w:rFonts w:hint="eastAsia" w:ascii="楷体_GB2312" w:hAnsi="宋体" w:eastAsia="楷体_GB2312" w:cs="仿宋_GB2312"/>
                <w:szCs w:val="21"/>
              </w:rPr>
            </w:pPr>
          </w:p>
        </w:tc>
        <w:tc>
          <w:tcPr>
            <w:tcW w:w="3420"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德、博、雅、健类等素质教育课程</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5" w:hRule="atLeast"/>
        </w:trPr>
        <w:tc>
          <w:tcPr>
            <w:tcW w:w="1235" w:type="dxa"/>
            <w:vMerge w:val="continue"/>
            <w:shd w:val="clear" w:color="auto" w:fill="auto"/>
            <w:vAlign w:val="center"/>
          </w:tcPr>
          <w:p>
            <w:pPr>
              <w:snapToGrid w:val="0"/>
              <w:spacing w:line="360" w:lineRule="auto"/>
              <w:jc w:val="center"/>
              <w:rPr>
                <w:rFonts w:hint="eastAsia" w:ascii="楷体_GB2312" w:hAnsi="宋体" w:eastAsia="楷体_GB2312"/>
                <w:szCs w:val="21"/>
              </w:rPr>
            </w:pPr>
          </w:p>
        </w:tc>
        <w:tc>
          <w:tcPr>
            <w:tcW w:w="2117" w:type="dxa"/>
            <w:shd w:val="clear" w:color="auto" w:fill="CCFFFF"/>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小计</w:t>
            </w:r>
          </w:p>
        </w:tc>
        <w:tc>
          <w:tcPr>
            <w:tcW w:w="720" w:type="dxa"/>
            <w:shd w:val="clear" w:color="auto" w:fill="CCFFFF"/>
            <w:vAlign w:val="center"/>
          </w:tcPr>
          <w:p>
            <w:pPr>
              <w:snapToGrid w:val="0"/>
              <w:jc w:val="center"/>
              <w:rPr>
                <w:rFonts w:hint="eastAsia" w:ascii="楷体_GB2312" w:hAnsi="宋体" w:eastAsia="楷体_GB2312" w:cs="仿宋_GB2312"/>
                <w:szCs w:val="21"/>
              </w:rPr>
            </w:pPr>
          </w:p>
        </w:tc>
        <w:tc>
          <w:tcPr>
            <w:tcW w:w="5246" w:type="dxa"/>
            <w:gridSpan w:val="3"/>
            <w:shd w:val="clear" w:color="auto" w:fill="CCFFFF"/>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restart"/>
            <w:vAlign w:val="center"/>
          </w:tcPr>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专业知识</w:t>
            </w:r>
          </w:p>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平台</w:t>
            </w: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跨专业知识模块</w:t>
            </w:r>
          </w:p>
        </w:tc>
        <w:tc>
          <w:tcPr>
            <w:tcW w:w="720" w:type="dxa"/>
            <w:vAlign w:val="center"/>
          </w:tcPr>
          <w:p>
            <w:pPr>
              <w:snapToGrid w:val="0"/>
              <w:jc w:val="center"/>
              <w:rPr>
                <w:rFonts w:hint="eastAsia" w:ascii="楷体_GB2312" w:hAnsi="宋体" w:eastAsia="楷体_GB2312" w:cs="仿宋_GB2312"/>
                <w:szCs w:val="21"/>
              </w:rPr>
            </w:pPr>
          </w:p>
        </w:tc>
        <w:tc>
          <w:tcPr>
            <w:tcW w:w="3420"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跨专业共享课</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4" w:hRule="atLeast"/>
        </w:trPr>
        <w:tc>
          <w:tcPr>
            <w:tcW w:w="1235" w:type="dxa"/>
            <w:vMerge w:val="continue"/>
            <w:vAlign w:val="center"/>
          </w:tcPr>
          <w:p>
            <w:pPr>
              <w:snapToGrid w:val="0"/>
              <w:spacing w:line="360" w:lineRule="auto"/>
              <w:jc w:val="center"/>
              <w:rPr>
                <w:rFonts w:hint="eastAsia" w:ascii="楷体_GB2312" w:hAnsi="宋体" w:eastAsia="楷体_GB2312"/>
                <w:szCs w:val="21"/>
              </w:rPr>
            </w:pP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专业基础模块</w:t>
            </w:r>
          </w:p>
        </w:tc>
        <w:tc>
          <w:tcPr>
            <w:tcW w:w="720" w:type="dxa"/>
            <w:vAlign w:val="center"/>
          </w:tcPr>
          <w:p>
            <w:pPr>
              <w:snapToGrid w:val="0"/>
              <w:jc w:val="center"/>
              <w:rPr>
                <w:rFonts w:hint="eastAsia" w:ascii="楷体_GB2312" w:hAnsi="宋体" w:eastAsia="楷体_GB2312" w:cs="仿宋_GB2312"/>
                <w:szCs w:val="21"/>
              </w:rPr>
            </w:pPr>
          </w:p>
        </w:tc>
        <w:tc>
          <w:tcPr>
            <w:tcW w:w="3420"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各专业的专业基础课</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2" w:hRule="atLeast"/>
        </w:trPr>
        <w:tc>
          <w:tcPr>
            <w:tcW w:w="1235" w:type="dxa"/>
            <w:vMerge w:val="continue"/>
            <w:shd w:val="clear" w:color="auto" w:fill="auto"/>
            <w:vAlign w:val="center"/>
          </w:tcPr>
          <w:p>
            <w:pPr>
              <w:snapToGrid w:val="0"/>
              <w:spacing w:line="360" w:lineRule="auto"/>
              <w:jc w:val="center"/>
              <w:rPr>
                <w:rFonts w:hint="eastAsia" w:ascii="楷体_GB2312" w:hAnsi="宋体" w:eastAsia="楷体_GB2312"/>
                <w:szCs w:val="21"/>
              </w:rPr>
            </w:pPr>
          </w:p>
        </w:tc>
        <w:tc>
          <w:tcPr>
            <w:tcW w:w="2117" w:type="dxa"/>
            <w:shd w:val="clear" w:color="auto" w:fill="CCFFFF"/>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小计</w:t>
            </w:r>
          </w:p>
        </w:tc>
        <w:tc>
          <w:tcPr>
            <w:tcW w:w="720" w:type="dxa"/>
            <w:shd w:val="clear" w:color="auto" w:fill="CCFFFF"/>
            <w:vAlign w:val="center"/>
          </w:tcPr>
          <w:p>
            <w:pPr>
              <w:snapToGrid w:val="0"/>
              <w:jc w:val="center"/>
              <w:rPr>
                <w:rFonts w:hint="eastAsia" w:ascii="楷体_GB2312" w:hAnsi="宋体" w:eastAsia="楷体_GB2312" w:cs="仿宋_GB2312"/>
                <w:szCs w:val="21"/>
              </w:rPr>
            </w:pPr>
          </w:p>
        </w:tc>
        <w:tc>
          <w:tcPr>
            <w:tcW w:w="5246" w:type="dxa"/>
            <w:gridSpan w:val="3"/>
            <w:shd w:val="clear" w:color="auto" w:fill="CCFFFF"/>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restart"/>
            <w:vAlign w:val="center"/>
          </w:tcPr>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应用能力</w:t>
            </w:r>
          </w:p>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平台</w:t>
            </w: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基本能力模块</w:t>
            </w:r>
          </w:p>
        </w:tc>
        <w:tc>
          <w:tcPr>
            <w:tcW w:w="720" w:type="dxa"/>
            <w:vAlign w:val="center"/>
          </w:tcPr>
          <w:p>
            <w:pPr>
              <w:snapToGrid w:val="0"/>
              <w:spacing w:line="360" w:lineRule="auto"/>
              <w:jc w:val="center"/>
              <w:rPr>
                <w:rFonts w:hint="eastAsia" w:ascii="楷体_GB2312" w:hAnsi="宋体" w:eastAsia="楷体_GB2312"/>
                <w:szCs w:val="21"/>
              </w:rPr>
            </w:pPr>
          </w:p>
        </w:tc>
        <w:tc>
          <w:tcPr>
            <w:tcW w:w="3420"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专业课、专业选修课</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continue"/>
            <w:vAlign w:val="center"/>
          </w:tcPr>
          <w:p>
            <w:pPr>
              <w:snapToGrid w:val="0"/>
              <w:spacing w:line="360" w:lineRule="auto"/>
              <w:jc w:val="center"/>
              <w:rPr>
                <w:rFonts w:hint="eastAsia" w:ascii="楷体_GB2312" w:hAnsi="宋体" w:eastAsia="楷体_GB2312"/>
                <w:szCs w:val="21"/>
              </w:rPr>
            </w:pP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岗位能力模块</w:t>
            </w:r>
          </w:p>
        </w:tc>
        <w:tc>
          <w:tcPr>
            <w:tcW w:w="720" w:type="dxa"/>
            <w:vAlign w:val="center"/>
          </w:tcPr>
          <w:p>
            <w:pPr>
              <w:snapToGrid w:val="0"/>
              <w:spacing w:line="360" w:lineRule="auto"/>
              <w:jc w:val="center"/>
              <w:rPr>
                <w:rFonts w:hint="eastAsia" w:ascii="楷体_GB2312" w:hAnsi="宋体" w:eastAsia="楷体_GB2312"/>
                <w:szCs w:val="21"/>
              </w:rPr>
            </w:pPr>
          </w:p>
        </w:tc>
        <w:tc>
          <w:tcPr>
            <w:tcW w:w="3420"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① XX岗位能力限选课群组</w:t>
            </w:r>
          </w:p>
          <w:p>
            <w:pPr>
              <w:snapToGrid w:val="0"/>
              <w:rPr>
                <w:rFonts w:hint="eastAsia" w:ascii="楷体_GB2312" w:hAnsi="宋体" w:eastAsia="楷体_GB2312"/>
                <w:szCs w:val="21"/>
              </w:rPr>
            </w:pPr>
            <w:r>
              <w:rPr>
                <w:rFonts w:hint="eastAsia" w:ascii="楷体_GB2312" w:hAnsi="宋体" w:eastAsia="楷体_GB2312" w:cs="仿宋_GB2312"/>
                <w:szCs w:val="21"/>
              </w:rPr>
              <w:t>② XX岗位能力限选课群组</w:t>
            </w:r>
          </w:p>
          <w:p>
            <w:pPr>
              <w:snapToGrid w:val="0"/>
              <w:rPr>
                <w:rFonts w:hint="eastAsia" w:ascii="楷体_GB2312" w:hAnsi="宋体" w:eastAsia="楷体_GB2312"/>
                <w:szCs w:val="21"/>
              </w:rPr>
            </w:pPr>
            <w:r>
              <w:rPr>
                <w:rFonts w:hint="eastAsia" w:ascii="楷体_GB2312" w:hAnsi="宋体" w:eastAsia="楷体_GB2312" w:cs="仿宋_GB2312"/>
                <w:szCs w:val="21"/>
              </w:rPr>
              <w:t>③ ……</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continue"/>
            <w:vAlign w:val="center"/>
          </w:tcPr>
          <w:p>
            <w:pPr>
              <w:snapToGrid w:val="0"/>
              <w:spacing w:line="360" w:lineRule="auto"/>
              <w:jc w:val="center"/>
              <w:rPr>
                <w:rFonts w:hint="eastAsia" w:ascii="楷体_GB2312" w:hAnsi="宋体" w:eastAsia="楷体_GB2312"/>
                <w:szCs w:val="21"/>
              </w:rPr>
            </w:pPr>
          </w:p>
        </w:tc>
        <w:tc>
          <w:tcPr>
            <w:tcW w:w="2117"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践训能力模块</w:t>
            </w:r>
          </w:p>
        </w:tc>
        <w:tc>
          <w:tcPr>
            <w:tcW w:w="720" w:type="dxa"/>
            <w:vAlign w:val="center"/>
          </w:tcPr>
          <w:p>
            <w:pPr>
              <w:snapToGrid w:val="0"/>
              <w:spacing w:line="360" w:lineRule="auto"/>
              <w:jc w:val="center"/>
              <w:rPr>
                <w:rFonts w:hint="eastAsia" w:ascii="楷体_GB2312" w:hAnsi="宋体" w:eastAsia="楷体_GB2312"/>
                <w:szCs w:val="21"/>
              </w:rPr>
            </w:pPr>
          </w:p>
        </w:tc>
        <w:tc>
          <w:tcPr>
            <w:tcW w:w="3420" w:type="dxa"/>
            <w:vAlign w:val="center"/>
          </w:tcPr>
          <w:p>
            <w:pPr>
              <w:snapToGrid w:val="0"/>
              <w:rPr>
                <w:rFonts w:hint="eastAsia" w:ascii="楷体_GB2312" w:hAnsi="宋体" w:eastAsia="楷体_GB2312"/>
                <w:szCs w:val="21"/>
              </w:rPr>
            </w:pPr>
            <w:r>
              <w:rPr>
                <w:rFonts w:hint="eastAsia" w:ascii="楷体_GB2312" w:hAnsi="宋体" w:eastAsia="楷体_GB2312" w:cs="仿宋_GB2312"/>
                <w:szCs w:val="21"/>
              </w:rPr>
              <w:t>① 课程设计、专业实验、专业实训、专业实践、毕业设计；</w:t>
            </w:r>
          </w:p>
          <w:p>
            <w:pPr>
              <w:snapToGrid w:val="0"/>
              <w:rPr>
                <w:rFonts w:hint="eastAsia" w:ascii="楷体_GB2312" w:hAnsi="宋体" w:eastAsia="楷体_GB2312"/>
                <w:szCs w:val="21"/>
              </w:rPr>
            </w:pPr>
            <w:r>
              <w:rPr>
                <w:rFonts w:hint="eastAsia" w:ascii="楷体_GB2312" w:hAnsi="宋体" w:eastAsia="楷体_GB2312" w:cs="仿宋_GB2312"/>
                <w:szCs w:val="21"/>
              </w:rPr>
              <w:t>② 认识实习、专业实习、毕业实习、社会实践、军事训练；</w:t>
            </w:r>
          </w:p>
          <w:p>
            <w:pPr>
              <w:snapToGrid w:val="0"/>
              <w:rPr>
                <w:rFonts w:hint="eastAsia" w:ascii="楷体_GB2312" w:hAnsi="宋体" w:eastAsia="楷体_GB2312"/>
                <w:szCs w:val="21"/>
              </w:rPr>
            </w:pPr>
            <w:r>
              <w:rPr>
                <w:rFonts w:hint="eastAsia" w:ascii="楷体_GB2312" w:hAnsi="宋体" w:eastAsia="楷体_GB2312" w:cs="仿宋_GB2312"/>
                <w:szCs w:val="21"/>
              </w:rPr>
              <w:t>③ 职业资格考证训练、技能竞赛训练、创新创业实战训练。</w:t>
            </w:r>
          </w:p>
        </w:tc>
        <w:tc>
          <w:tcPr>
            <w:tcW w:w="900" w:type="dxa"/>
            <w:vAlign w:val="center"/>
          </w:tcPr>
          <w:p>
            <w:pPr>
              <w:snapToGrid w:val="0"/>
              <w:spacing w:line="360" w:lineRule="auto"/>
              <w:jc w:val="center"/>
              <w:rPr>
                <w:rFonts w:hint="eastAsia" w:ascii="楷体_GB2312" w:hAnsi="宋体" w:eastAsia="楷体_GB2312"/>
                <w:szCs w:val="21"/>
              </w:rPr>
            </w:pPr>
          </w:p>
        </w:tc>
        <w:tc>
          <w:tcPr>
            <w:tcW w:w="926" w:type="dxa"/>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35" w:type="dxa"/>
            <w:vMerge w:val="continue"/>
            <w:shd w:val="clear" w:color="auto" w:fill="auto"/>
            <w:vAlign w:val="center"/>
          </w:tcPr>
          <w:p>
            <w:pPr>
              <w:snapToGrid w:val="0"/>
              <w:spacing w:line="360" w:lineRule="auto"/>
              <w:jc w:val="center"/>
              <w:rPr>
                <w:rFonts w:hint="eastAsia" w:ascii="楷体_GB2312" w:hAnsi="宋体" w:eastAsia="楷体_GB2312"/>
                <w:szCs w:val="21"/>
              </w:rPr>
            </w:pPr>
          </w:p>
        </w:tc>
        <w:tc>
          <w:tcPr>
            <w:tcW w:w="2117" w:type="dxa"/>
            <w:shd w:val="clear" w:color="auto" w:fill="CCFFFF"/>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小计</w:t>
            </w:r>
          </w:p>
        </w:tc>
        <w:tc>
          <w:tcPr>
            <w:tcW w:w="720" w:type="dxa"/>
            <w:shd w:val="clear" w:color="auto" w:fill="CCFFFF"/>
            <w:vAlign w:val="center"/>
          </w:tcPr>
          <w:p>
            <w:pPr>
              <w:snapToGrid w:val="0"/>
              <w:jc w:val="center"/>
              <w:rPr>
                <w:rFonts w:hint="eastAsia" w:ascii="楷体_GB2312" w:hAnsi="宋体" w:eastAsia="楷体_GB2312" w:cs="仿宋_GB2312"/>
                <w:szCs w:val="21"/>
              </w:rPr>
            </w:pPr>
          </w:p>
        </w:tc>
        <w:tc>
          <w:tcPr>
            <w:tcW w:w="5246" w:type="dxa"/>
            <w:gridSpan w:val="3"/>
            <w:shd w:val="clear" w:color="auto" w:fill="CCFFFF"/>
            <w:vAlign w:val="center"/>
          </w:tcPr>
          <w:p>
            <w:pPr>
              <w:snapToGrid w:val="0"/>
              <w:spacing w:line="360" w:lineRule="auto"/>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352" w:type="dxa"/>
            <w:gridSpan w:val="2"/>
            <w:shd w:val="clear" w:color="auto" w:fill="E0E0E0"/>
            <w:vAlign w:val="center"/>
          </w:tcPr>
          <w:p>
            <w:pPr>
              <w:snapToGrid w:val="0"/>
              <w:jc w:val="center"/>
              <w:rPr>
                <w:rFonts w:hint="eastAsia" w:ascii="楷体_GB2312" w:hAnsi="宋体" w:eastAsia="楷体_GB2312"/>
                <w:szCs w:val="21"/>
              </w:rPr>
            </w:pPr>
            <w:r>
              <w:rPr>
                <w:rFonts w:hint="eastAsia" w:ascii="楷体_GB2312" w:hAnsi="宋体" w:eastAsia="楷体_GB2312" w:cs="仿宋_GB2312"/>
                <w:szCs w:val="21"/>
              </w:rPr>
              <w:t>总计</w:t>
            </w:r>
          </w:p>
        </w:tc>
        <w:tc>
          <w:tcPr>
            <w:tcW w:w="720" w:type="dxa"/>
            <w:shd w:val="clear" w:color="auto" w:fill="E0E0E0"/>
            <w:vAlign w:val="center"/>
          </w:tcPr>
          <w:p>
            <w:pPr>
              <w:snapToGrid w:val="0"/>
              <w:jc w:val="center"/>
              <w:rPr>
                <w:rFonts w:hint="eastAsia" w:ascii="楷体_GB2312" w:hAnsi="宋体" w:eastAsia="楷体_GB2312" w:cs="仿宋_GB2312"/>
                <w:szCs w:val="21"/>
              </w:rPr>
            </w:pPr>
            <w:r>
              <w:rPr>
                <w:rFonts w:hint="eastAsia" w:ascii="楷体_GB2312" w:hAnsi="宋体" w:eastAsia="楷体_GB2312" w:cs="仿宋_GB2312"/>
                <w:szCs w:val="21"/>
              </w:rPr>
              <w:t>80</w:t>
            </w:r>
          </w:p>
        </w:tc>
        <w:tc>
          <w:tcPr>
            <w:tcW w:w="5246" w:type="dxa"/>
            <w:gridSpan w:val="3"/>
            <w:shd w:val="clear" w:color="auto" w:fill="E0E0E0"/>
            <w:vAlign w:val="center"/>
          </w:tcPr>
          <w:p>
            <w:pPr>
              <w:snapToGrid w:val="0"/>
              <w:spacing w:line="360" w:lineRule="auto"/>
              <w:jc w:val="center"/>
              <w:rPr>
                <w:rFonts w:hint="eastAsia" w:ascii="楷体_GB2312" w:hAnsi="宋体" w:eastAsia="楷体_GB2312"/>
                <w:szCs w:val="21"/>
              </w:rPr>
            </w:pPr>
          </w:p>
        </w:tc>
      </w:tr>
    </w:tbl>
    <w:p>
      <w:pPr>
        <w:spacing w:line="300" w:lineRule="auto"/>
        <w:ind w:firstLine="480" w:firstLineChars="200"/>
        <w:rPr>
          <w:rFonts w:hint="eastAsia" w:ascii="楷体_GB2312" w:hAnsi="宋体" w:eastAsia="楷体_GB2312"/>
          <w:sz w:val="24"/>
        </w:rPr>
      </w:pPr>
    </w:p>
    <w:p>
      <w:pPr>
        <w:spacing w:line="300" w:lineRule="auto"/>
        <w:ind w:firstLine="480" w:firstLineChars="200"/>
        <w:rPr>
          <w:rFonts w:hint="eastAsia" w:ascii="楷体_GB2312" w:hAnsi="宋体" w:eastAsia="楷体_GB2312"/>
          <w:sz w:val="24"/>
        </w:rPr>
      </w:pPr>
      <w:r>
        <w:rPr>
          <w:rFonts w:hint="eastAsia" w:ascii="楷体_GB2312" w:hAnsi="宋体" w:eastAsia="楷体_GB2312"/>
          <w:sz w:val="24"/>
        </w:rPr>
        <w:t>（2）各专业的毕业实习和毕业设计（论文）合计为</w:t>
      </w:r>
      <w:r>
        <w:rPr>
          <w:rFonts w:hint="eastAsia" w:ascii="楷体_GB2312" w:eastAsia="楷体_GB2312"/>
          <w:sz w:val="24"/>
        </w:rPr>
        <w:t>18</w:t>
      </w:r>
      <w:r>
        <w:rPr>
          <w:rFonts w:hint="eastAsia" w:ascii="楷体_GB2312" w:hAnsi="宋体" w:eastAsia="楷体_GB2312"/>
          <w:sz w:val="24"/>
        </w:rPr>
        <w:t>学分。</w:t>
      </w:r>
    </w:p>
    <w:p>
      <w:pPr>
        <w:spacing w:line="440" w:lineRule="exact"/>
        <w:rPr>
          <w:rFonts w:hint="eastAsia" w:ascii="楷体_GB2312" w:hAnsi="宋体" w:eastAsia="楷体_GB2312"/>
          <w:sz w:val="24"/>
        </w:rPr>
      </w:pPr>
      <w:r>
        <w:rPr>
          <w:rFonts w:hint="eastAsia" w:ascii="楷体_GB2312" w:hAnsi="宋体" w:eastAsia="楷体_GB2312"/>
          <w:sz w:val="24"/>
        </w:rPr>
        <w:t xml:space="preserve">    3、学分与学时</w:t>
      </w:r>
    </w:p>
    <w:p>
      <w:pPr>
        <w:spacing w:line="440" w:lineRule="exact"/>
        <w:ind w:firstLine="480"/>
        <w:rPr>
          <w:rFonts w:hint="eastAsia" w:ascii="楷体_GB2312" w:hAnsi="宋体" w:eastAsia="楷体_GB2312"/>
          <w:sz w:val="24"/>
        </w:rPr>
      </w:pPr>
      <w:r>
        <w:rPr>
          <w:rFonts w:hint="eastAsia" w:ascii="楷体_GB2312" w:hAnsi="宋体" w:eastAsia="楷体_GB2312"/>
          <w:sz w:val="24"/>
        </w:rPr>
        <w:t>（1）计划总学分要求</w:t>
      </w:r>
    </w:p>
    <w:p>
      <w:pPr>
        <w:spacing w:line="440" w:lineRule="exact"/>
        <w:ind w:firstLine="480" w:firstLineChars="200"/>
        <w:rPr>
          <w:rFonts w:hint="eastAsia" w:ascii="楷体_GB2312" w:hAnsi="宋体" w:eastAsia="楷体_GB2312"/>
          <w:sz w:val="24"/>
        </w:rPr>
      </w:pPr>
      <w:r>
        <w:rPr>
          <w:rFonts w:hint="eastAsia" w:ascii="楷体_GB2312" w:hAnsi="宋体" w:eastAsia="楷体_GB2312"/>
          <w:sz w:val="24"/>
        </w:rPr>
        <w:t>各专业总学分为80学分。经、管、文、法、艺等学科的专业实践教学学分占总学分比例不低于35%，理工科专业实践教学学分占总学分比例不低于40%。实践学分含集中性实践环节，课内实验（实践）课时折算的学分。</w:t>
      </w:r>
    </w:p>
    <w:p>
      <w:pPr>
        <w:spacing w:line="440" w:lineRule="exact"/>
        <w:ind w:firstLine="480"/>
        <w:rPr>
          <w:rFonts w:hint="eastAsia" w:ascii="楷体_GB2312" w:hAnsi="宋体" w:eastAsia="楷体_GB2312"/>
          <w:sz w:val="24"/>
        </w:rPr>
      </w:pPr>
      <w:r>
        <w:rPr>
          <w:rFonts w:hint="eastAsia" w:ascii="楷体_GB2312" w:hAnsi="宋体" w:eastAsia="楷体_GB2312"/>
          <w:sz w:val="24"/>
        </w:rPr>
        <w:t>（2）学分与学时的关系</w:t>
      </w:r>
    </w:p>
    <w:p>
      <w:pPr>
        <w:spacing w:line="300" w:lineRule="auto"/>
        <w:ind w:firstLine="840" w:firstLineChars="350"/>
        <w:rPr>
          <w:rFonts w:hint="eastAsia" w:ascii="楷体_GB2312" w:hAnsi="宋体" w:eastAsia="楷体_GB2312"/>
          <w:bCs/>
          <w:spacing w:val="10"/>
          <w:sz w:val="24"/>
        </w:rPr>
      </w:pPr>
      <w:r>
        <w:rPr>
          <w:rFonts w:hint="eastAsia" w:ascii="楷体_GB2312" w:hAnsi="宋体" w:eastAsia="楷体_GB2312"/>
          <w:bCs/>
          <w:sz w:val="24"/>
        </w:rPr>
        <w:t>①</w:t>
      </w:r>
      <w:r>
        <w:rPr>
          <w:rFonts w:hint="eastAsia" w:ascii="楷体_GB2312" w:hAnsi="宋体" w:eastAsia="楷体_GB2312"/>
          <w:bCs/>
          <w:spacing w:val="10"/>
          <w:sz w:val="24"/>
        </w:rPr>
        <w:t>课堂教学16学时为1学分；</w:t>
      </w:r>
    </w:p>
    <w:p>
      <w:pPr>
        <w:spacing w:line="300" w:lineRule="auto"/>
        <w:ind w:firstLine="840" w:firstLineChars="350"/>
        <w:rPr>
          <w:rFonts w:hint="eastAsia" w:ascii="楷体_GB2312" w:hAnsi="宋体" w:eastAsia="楷体_GB2312"/>
          <w:bCs/>
          <w:sz w:val="24"/>
        </w:rPr>
      </w:pPr>
      <w:r>
        <w:rPr>
          <w:rFonts w:hint="eastAsia" w:ascii="楷体_GB2312" w:hAnsi="宋体" w:eastAsia="楷体_GB2312"/>
          <w:bCs/>
          <w:sz w:val="24"/>
        </w:rPr>
        <w:t>②</w:t>
      </w:r>
      <w:r>
        <w:rPr>
          <w:rFonts w:hint="eastAsia" w:ascii="楷体_GB2312" w:hAnsi="宋体" w:eastAsia="楷体_GB2312"/>
          <w:bCs/>
          <w:spacing w:val="4"/>
          <w:sz w:val="24"/>
        </w:rPr>
        <w:t>实践教学以周为单位，每周为</w:t>
      </w:r>
      <w:r>
        <w:rPr>
          <w:rFonts w:hint="eastAsia" w:ascii="楷体_GB2312" w:eastAsia="楷体_GB2312"/>
          <w:bCs/>
          <w:spacing w:val="4"/>
          <w:sz w:val="24"/>
        </w:rPr>
        <w:t>1</w:t>
      </w:r>
      <w:r>
        <w:rPr>
          <w:rFonts w:hint="eastAsia" w:ascii="楷体_GB2312" w:hAnsi="宋体" w:eastAsia="楷体_GB2312"/>
          <w:bCs/>
          <w:spacing w:val="4"/>
          <w:sz w:val="24"/>
        </w:rPr>
        <w:t>学分；</w:t>
      </w:r>
    </w:p>
    <w:p>
      <w:pPr>
        <w:spacing w:line="300" w:lineRule="auto"/>
        <w:ind w:firstLine="840" w:firstLineChars="350"/>
        <w:rPr>
          <w:rFonts w:hint="eastAsia" w:ascii="楷体_GB2312" w:hAnsi="宋体" w:eastAsia="楷体_GB2312"/>
          <w:bCs/>
          <w:spacing w:val="10"/>
          <w:sz w:val="24"/>
        </w:rPr>
      </w:pPr>
      <w:r>
        <w:rPr>
          <w:rFonts w:hint="eastAsia" w:ascii="楷体_GB2312" w:hAnsi="宋体" w:eastAsia="楷体_GB2312"/>
          <w:bCs/>
          <w:sz w:val="24"/>
        </w:rPr>
        <w:t>③</w:t>
      </w:r>
      <w:r>
        <w:rPr>
          <w:rFonts w:hint="eastAsia" w:ascii="楷体_GB2312" w:hAnsi="宋体" w:eastAsia="楷体_GB2312"/>
          <w:bCs/>
          <w:spacing w:val="10"/>
          <w:sz w:val="24"/>
        </w:rPr>
        <w:t>学分的最小单位为</w:t>
      </w:r>
      <w:r>
        <w:rPr>
          <w:rFonts w:hint="eastAsia" w:ascii="楷体_GB2312" w:eastAsia="楷体_GB2312"/>
          <w:bCs/>
          <w:spacing w:val="10"/>
          <w:sz w:val="24"/>
        </w:rPr>
        <w:t>0.5</w:t>
      </w:r>
      <w:r>
        <w:rPr>
          <w:rFonts w:hint="eastAsia" w:ascii="楷体_GB2312" w:hAnsi="宋体" w:eastAsia="楷体_GB2312"/>
          <w:bCs/>
          <w:spacing w:val="10"/>
          <w:sz w:val="24"/>
        </w:rPr>
        <w:t>。</w:t>
      </w:r>
      <w:r>
        <w:rPr>
          <w:rFonts w:hint="eastAsia" w:ascii="楷体_GB2312" w:hAnsi="宋体" w:eastAsia="楷体_GB2312"/>
          <w:sz w:val="24"/>
        </w:rPr>
        <w:t xml:space="preserve">  </w:t>
      </w:r>
    </w:p>
    <w:p>
      <w:pPr>
        <w:spacing w:line="300" w:lineRule="auto"/>
        <w:ind w:firstLine="441" w:firstLineChars="147"/>
        <w:rPr>
          <w:rFonts w:hint="eastAsia" w:ascii="楷体_GB2312" w:eastAsia="楷体_GB2312"/>
          <w:b/>
          <w:sz w:val="30"/>
        </w:rPr>
      </w:pPr>
      <w:r>
        <w:rPr>
          <w:rFonts w:hint="eastAsia" w:ascii="楷体_GB2312" w:eastAsia="楷体_GB2312"/>
          <w:b/>
          <w:sz w:val="30"/>
        </w:rPr>
        <w:t>四、时间分配</w:t>
      </w:r>
    </w:p>
    <w:p>
      <w:pPr>
        <w:spacing w:line="300" w:lineRule="auto"/>
        <w:ind w:firstLine="488" w:firstLineChars="200"/>
        <w:rPr>
          <w:rFonts w:hint="eastAsia" w:ascii="楷体_GB2312" w:hAnsi="宋体" w:eastAsia="楷体_GB2312"/>
          <w:sz w:val="24"/>
        </w:rPr>
      </w:pPr>
      <w:r>
        <w:rPr>
          <w:rFonts w:hint="eastAsia" w:ascii="楷体_GB2312" w:hAnsi="宋体" w:eastAsia="楷体_GB2312"/>
          <w:spacing w:val="2"/>
          <w:sz w:val="24"/>
        </w:rPr>
        <w:t>各学期计划周数均按</w:t>
      </w:r>
      <w:r>
        <w:rPr>
          <w:rFonts w:hint="eastAsia" w:ascii="楷体_GB2312" w:eastAsia="楷体_GB2312"/>
          <w:spacing w:val="2"/>
          <w:sz w:val="24"/>
        </w:rPr>
        <w:t>18</w:t>
      </w:r>
      <w:r>
        <w:rPr>
          <w:rFonts w:hint="eastAsia" w:ascii="楷体_GB2312" w:hAnsi="宋体" w:eastAsia="楷体_GB2312"/>
          <w:spacing w:val="2"/>
          <w:sz w:val="24"/>
        </w:rPr>
        <w:t>周计算。各</w:t>
      </w:r>
      <w:r>
        <w:rPr>
          <w:rFonts w:hint="eastAsia" w:ascii="楷体_GB2312" w:hAnsi="宋体" w:eastAsia="楷体_GB2312"/>
          <w:sz w:val="24"/>
        </w:rPr>
        <w:t>专业视具体情况排定课内教学和其它环节的周数。</w:t>
      </w:r>
    </w:p>
    <w:p>
      <w:pPr>
        <w:spacing w:line="300" w:lineRule="auto"/>
        <w:ind w:firstLine="441" w:firstLineChars="147"/>
        <w:rPr>
          <w:rFonts w:hint="eastAsia" w:ascii="楷体_GB2312" w:eastAsia="楷体_GB2312"/>
          <w:b/>
          <w:sz w:val="30"/>
        </w:rPr>
      </w:pPr>
      <w:r>
        <w:rPr>
          <w:rFonts w:hint="eastAsia" w:ascii="楷体_GB2312" w:eastAsia="楷体_GB2312"/>
          <w:b/>
          <w:sz w:val="30"/>
        </w:rPr>
        <w:t>五、其他事项</w:t>
      </w:r>
    </w:p>
    <w:p>
      <w:pPr>
        <w:spacing w:line="300" w:lineRule="auto"/>
        <w:ind w:firstLine="480" w:firstLineChars="200"/>
        <w:rPr>
          <w:rFonts w:hint="eastAsia" w:ascii="楷体_GB2312" w:hAnsi="宋体" w:eastAsia="楷体_GB2312"/>
          <w:bCs/>
          <w:sz w:val="24"/>
        </w:rPr>
      </w:pPr>
      <w:r>
        <w:rPr>
          <w:rFonts w:hint="eastAsia" w:ascii="楷体_GB2312" w:eastAsia="楷体_GB2312"/>
          <w:bCs/>
          <w:sz w:val="24"/>
        </w:rPr>
        <w:t>1</w:t>
      </w:r>
      <w:r>
        <w:rPr>
          <w:rFonts w:hint="eastAsia" w:ascii="楷体_GB2312" w:hAnsi="宋体" w:eastAsia="楷体_GB2312"/>
          <w:bCs/>
          <w:sz w:val="24"/>
        </w:rPr>
        <w:t>、培养方案的文本格式应依照学院颁布的格式编写。</w:t>
      </w:r>
    </w:p>
    <w:p>
      <w:pPr>
        <w:spacing w:line="300" w:lineRule="auto"/>
        <w:ind w:firstLine="480" w:firstLineChars="200"/>
        <w:rPr>
          <w:rFonts w:hint="eastAsia" w:ascii="楷体_GB2312" w:hAnsi="宋体" w:eastAsia="楷体_GB2312"/>
          <w:sz w:val="24"/>
        </w:rPr>
      </w:pPr>
      <w:r>
        <w:rPr>
          <w:rFonts w:hint="eastAsia" w:ascii="楷体_GB2312" w:eastAsia="楷体_GB2312"/>
          <w:sz w:val="24"/>
        </w:rPr>
        <w:t>2</w:t>
      </w:r>
      <w:r>
        <w:rPr>
          <w:rFonts w:hint="eastAsia" w:ascii="楷体_GB2312" w:hAnsi="宋体" w:eastAsia="楷体_GB2312"/>
          <w:sz w:val="24"/>
        </w:rPr>
        <w:t>、</w:t>
      </w:r>
      <w:r>
        <w:rPr>
          <w:rFonts w:hint="eastAsia" w:ascii="楷体_GB2312" w:hAnsi="宋体" w:eastAsia="楷体_GB2312"/>
          <w:bCs/>
          <w:sz w:val="24"/>
        </w:rPr>
        <w:t>学分分布安排应按照本意见的要求进行，需变更时应报教务</w:t>
      </w:r>
      <w:r>
        <w:rPr>
          <w:rFonts w:hint="eastAsia" w:ascii="楷体_GB2312" w:hAnsi="宋体" w:eastAsia="楷体_GB2312"/>
          <w:bCs/>
          <w:sz w:val="24"/>
          <w:lang w:eastAsia="zh-CN"/>
        </w:rPr>
        <w:t>处</w:t>
      </w:r>
      <w:r>
        <w:rPr>
          <w:rFonts w:hint="eastAsia" w:ascii="楷体_GB2312" w:hAnsi="宋体" w:eastAsia="楷体_GB2312"/>
          <w:bCs/>
          <w:sz w:val="24"/>
        </w:rPr>
        <w:t>批准。</w:t>
      </w:r>
    </w:p>
    <w:p>
      <w:pPr>
        <w:spacing w:line="300" w:lineRule="auto"/>
        <w:ind w:firstLine="480" w:firstLineChars="200"/>
        <w:rPr>
          <w:rFonts w:hint="eastAsia" w:ascii="楷体_GB2312" w:hAnsi="宋体" w:eastAsia="楷体_GB2312"/>
          <w:bCs/>
          <w:sz w:val="24"/>
        </w:rPr>
      </w:pPr>
      <w:r>
        <w:rPr>
          <w:rFonts w:hint="eastAsia" w:ascii="楷体_GB2312" w:eastAsia="楷体_GB2312"/>
          <w:bCs/>
          <w:sz w:val="24"/>
        </w:rPr>
        <w:t>3</w:t>
      </w:r>
      <w:r>
        <w:rPr>
          <w:rFonts w:hint="eastAsia" w:ascii="楷体_GB2312" w:hAnsi="宋体" w:eastAsia="楷体_GB2312"/>
          <w:bCs/>
          <w:sz w:val="24"/>
        </w:rPr>
        <w:t>、</w:t>
      </w:r>
      <w:r>
        <w:rPr>
          <w:rFonts w:hint="eastAsia" w:ascii="楷体_GB2312" w:hAnsi="宋体" w:eastAsia="楷体_GB2312"/>
          <w:sz w:val="24"/>
        </w:rPr>
        <w:t>各课程中的实验、上机学时应予以列出。</w:t>
      </w:r>
    </w:p>
    <w:p>
      <w:pPr>
        <w:spacing w:line="300" w:lineRule="auto"/>
        <w:ind w:firstLine="480" w:firstLineChars="200"/>
        <w:rPr>
          <w:rFonts w:hint="eastAsia" w:ascii="楷体_GB2312" w:hAnsi="宋体" w:eastAsia="楷体_GB2312"/>
          <w:bCs/>
          <w:sz w:val="24"/>
        </w:rPr>
      </w:pPr>
      <w:r>
        <w:rPr>
          <w:rFonts w:hint="eastAsia" w:ascii="楷体_GB2312" w:eastAsia="楷体_GB2312"/>
          <w:bCs/>
          <w:sz w:val="24"/>
        </w:rPr>
        <w:t>3</w:t>
      </w:r>
      <w:r>
        <w:rPr>
          <w:rFonts w:hint="eastAsia" w:ascii="楷体_GB2312" w:hAnsi="宋体" w:eastAsia="楷体_GB2312"/>
          <w:bCs/>
          <w:sz w:val="24"/>
        </w:rPr>
        <w:t>、课程名称应规范、统一，不得随意缩写。</w:t>
      </w:r>
    </w:p>
    <w:p>
      <w:pPr>
        <w:rPr>
          <w:rFonts w:hint="eastAsia" w:ascii="楷体_GB2312" w:eastAsia="楷体_GB2312"/>
          <w:b/>
          <w:sz w:val="30"/>
        </w:rPr>
      </w:pPr>
      <w:r>
        <w:rPr>
          <w:rFonts w:hint="eastAsia" w:ascii="楷体_GB2312" w:eastAsia="楷体_GB2312"/>
          <w:b/>
          <w:sz w:val="30"/>
        </w:rPr>
        <w:t>六、本次制订的培养方案自201</w:t>
      </w:r>
      <w:r>
        <w:rPr>
          <w:rFonts w:hint="eastAsia" w:ascii="楷体_GB2312" w:eastAsia="楷体_GB2312"/>
          <w:b/>
          <w:sz w:val="30"/>
          <w:lang w:val="en-US" w:eastAsia="zh-CN"/>
        </w:rPr>
        <w:t>7</w:t>
      </w:r>
      <w:r>
        <w:rPr>
          <w:rFonts w:hint="eastAsia" w:ascii="楷体_GB2312" w:eastAsia="楷体_GB2312"/>
          <w:b/>
          <w:sz w:val="30"/>
        </w:rPr>
        <w:t>级开始实施。</w:t>
      </w: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楷体_GB2312" w:eastAsia="楷体_GB2312"/>
          <w:b/>
          <w:sz w:val="30"/>
        </w:rPr>
      </w:pPr>
    </w:p>
    <w:p>
      <w:pPr>
        <w:rPr>
          <w:rFonts w:hint="eastAsia" w:ascii="仿宋_GB2312" w:hAnsi="仿宋_GB2312" w:eastAsia="仿宋_GB2312" w:cs="仿宋_GB2312"/>
          <w:b w:val="0"/>
          <w:bCs/>
          <w:sz w:val="32"/>
          <w:szCs w:val="32"/>
          <w:lang w:val="en-US" w:eastAsia="zh-CN"/>
        </w:rPr>
      </w:pPr>
      <w:r>
        <w:rPr>
          <w:rFonts w:hint="eastAsia" w:ascii="仿宋_GB2312" w:hAnsi="仿宋_GB2312" w:eastAsia="仿宋_GB2312" w:cs="仿宋_GB2312"/>
          <w:b w:val="0"/>
          <w:bCs/>
          <w:sz w:val="32"/>
          <w:szCs w:val="32"/>
          <w:lang w:eastAsia="zh-CN"/>
        </w:rPr>
        <w:t>附件</w:t>
      </w:r>
      <w:r>
        <w:rPr>
          <w:rFonts w:hint="eastAsia" w:ascii="仿宋_GB2312" w:hAnsi="仿宋_GB2312" w:eastAsia="仿宋_GB2312" w:cs="仿宋_GB2312"/>
          <w:b w:val="0"/>
          <w:bCs/>
          <w:sz w:val="32"/>
          <w:szCs w:val="32"/>
          <w:lang w:val="en-US" w:eastAsia="zh-CN"/>
        </w:rPr>
        <w:t>3</w:t>
      </w:r>
    </w:p>
    <w:p>
      <w:pPr>
        <w:pStyle w:val="2"/>
        <w:keepNext w:val="0"/>
        <w:keepLines/>
        <w:pageBreakBefore w:val="0"/>
        <w:widowControl w:val="0"/>
        <w:kinsoku/>
        <w:wordWrap/>
        <w:overflowPunct/>
        <w:topLinePunct w:val="0"/>
        <w:autoSpaceDE/>
        <w:autoSpaceDN/>
        <w:bidi w:val="0"/>
        <w:adjustRightInd/>
        <w:snapToGrid/>
        <w:spacing w:before="340" w:after="330" w:line="240" w:lineRule="auto"/>
        <w:ind w:left="210" w:leftChars="100" w:right="210" w:rightChars="100" w:firstLine="0" w:firstLineChars="0"/>
        <w:jc w:val="center"/>
        <w:textAlignment w:val="auto"/>
        <w:outlineLvl w:val="0"/>
        <w:rPr>
          <w:rFonts w:hint="eastAsia"/>
        </w:rPr>
      </w:pPr>
      <w:bookmarkStart w:id="2" w:name="_Toc428389828"/>
      <w:r>
        <w:rPr>
          <w:rFonts w:hint="eastAsia"/>
          <w:lang w:val="en-US" w:eastAsia="zh-CN"/>
        </w:rPr>
        <w:t>***</w:t>
      </w:r>
      <w:r>
        <w:rPr>
          <w:rFonts w:hint="eastAsia"/>
        </w:rPr>
        <w:t>专业培养方案</w:t>
      </w:r>
      <w:bookmarkEnd w:id="2"/>
      <w:r>
        <w:rPr>
          <w:rFonts w:hint="eastAsia"/>
          <w:lang w:eastAsia="zh-CN"/>
        </w:rPr>
        <w:t>（范本）</w:t>
      </w:r>
    </w:p>
    <w:p>
      <w:pPr>
        <w:spacing w:before="93" w:beforeLines="30" w:after="93" w:afterLines="30" w:line="360" w:lineRule="auto"/>
        <w:rPr>
          <w:rFonts w:hint="eastAsia" w:ascii="楷体_GB2312" w:hAnsi="宋体" w:eastAsia="楷体_GB2312"/>
          <w:szCs w:val="21"/>
        </w:rPr>
      </w:pPr>
      <w:r>
        <w:rPr>
          <w:rFonts w:hint="eastAsia" w:ascii="黑体" w:hAnsi="宋体" w:eastAsia="黑体"/>
          <w:sz w:val="24"/>
        </w:rPr>
        <w:t>一、学    制：</w:t>
      </w:r>
      <w:r>
        <w:rPr>
          <w:rFonts w:hint="eastAsia" w:ascii="楷体_GB2312" w:hAnsi="宋体" w:eastAsia="楷体_GB2312"/>
          <w:szCs w:val="21"/>
          <w:lang w:val="en-US" w:eastAsia="zh-CN"/>
        </w:rPr>
        <w:t>**</w:t>
      </w:r>
      <w:r>
        <w:rPr>
          <w:rFonts w:hint="eastAsia" w:ascii="楷体_GB2312" w:hAnsi="宋体" w:eastAsia="楷体_GB2312"/>
          <w:szCs w:val="21"/>
        </w:rPr>
        <w:t>年</w:t>
      </w:r>
    </w:p>
    <w:p>
      <w:pPr>
        <w:spacing w:before="93" w:beforeLines="30" w:after="93" w:afterLines="30" w:line="360" w:lineRule="auto"/>
        <w:rPr>
          <w:rFonts w:hint="eastAsia" w:ascii="楷体_GB2312" w:hAnsi="宋体" w:eastAsia="楷体_GB2312"/>
          <w:szCs w:val="21"/>
        </w:rPr>
      </w:pPr>
      <w:r>
        <w:rPr>
          <w:rFonts w:hint="eastAsia" w:ascii="黑体" w:hAnsi="宋体" w:eastAsia="黑体"/>
          <w:sz w:val="24"/>
        </w:rPr>
        <w:t>二、授予学位：</w:t>
      </w:r>
      <w:r>
        <w:rPr>
          <w:rFonts w:hint="eastAsia" w:ascii="楷体_GB2312" w:hAnsi="宋体" w:eastAsia="楷体_GB2312"/>
          <w:szCs w:val="21"/>
          <w:lang w:val="en-US" w:eastAsia="zh-CN"/>
        </w:rPr>
        <w:t>***</w:t>
      </w:r>
      <w:r>
        <w:rPr>
          <w:rFonts w:hint="eastAsia" w:ascii="楷体_GB2312" w:hAnsi="宋体" w:eastAsia="楷体_GB2312"/>
          <w:szCs w:val="21"/>
        </w:rPr>
        <w:t>学士</w:t>
      </w:r>
    </w:p>
    <w:p>
      <w:pPr>
        <w:spacing w:before="93" w:beforeLines="30" w:after="93" w:afterLines="30" w:line="360" w:lineRule="auto"/>
        <w:rPr>
          <w:rFonts w:hint="eastAsia" w:ascii="黑体" w:hAnsi="宋体" w:eastAsia="黑体"/>
          <w:sz w:val="24"/>
        </w:rPr>
      </w:pPr>
      <w:r>
        <w:rPr>
          <w:rFonts w:hint="eastAsia" w:ascii="黑体" w:hAnsi="宋体" w:eastAsia="黑体"/>
          <w:sz w:val="24"/>
        </w:rPr>
        <w:t>三、培养目标</w:t>
      </w:r>
    </w:p>
    <w:p>
      <w:pPr>
        <w:spacing w:line="400" w:lineRule="exact"/>
        <w:ind w:firstLine="428" w:firstLineChars="200"/>
        <w:rPr>
          <w:rFonts w:hint="eastAsia" w:ascii="楷体_GB2312" w:hAnsi="宋体" w:eastAsia="楷体_GB2312"/>
          <w:spacing w:val="2"/>
          <w:szCs w:val="21"/>
        </w:rPr>
      </w:pPr>
      <w:r>
        <w:rPr>
          <w:rFonts w:hint="eastAsia" w:ascii="楷体_GB2312" w:hAnsi="宋体" w:eastAsia="楷体_GB2312"/>
          <w:spacing w:val="2"/>
          <w:szCs w:val="21"/>
        </w:rPr>
        <w:t>200字以内，建议参考专业类教学质量国家标准规范</w:t>
      </w:r>
    </w:p>
    <w:p>
      <w:pPr>
        <w:spacing w:line="400" w:lineRule="exact"/>
        <w:ind w:firstLine="428" w:firstLineChars="200"/>
        <w:rPr>
          <w:rFonts w:hint="eastAsia" w:ascii="楷体_GB2312" w:hAnsi="宋体" w:eastAsia="楷体_GB2312"/>
          <w:spacing w:val="2"/>
          <w:szCs w:val="21"/>
        </w:rPr>
      </w:pPr>
    </w:p>
    <w:p>
      <w:pPr>
        <w:spacing w:before="93" w:beforeLines="30" w:after="93" w:afterLines="30" w:line="360" w:lineRule="auto"/>
        <w:rPr>
          <w:rFonts w:hint="eastAsia" w:ascii="黑体" w:hAnsi="宋体" w:eastAsia="黑体"/>
          <w:sz w:val="24"/>
        </w:rPr>
      </w:pPr>
      <w:r>
        <w:rPr>
          <w:rFonts w:hint="eastAsia" w:ascii="黑体" w:hAnsi="宋体" w:eastAsia="黑体"/>
          <w:sz w:val="24"/>
        </w:rPr>
        <w:t>四、</w:t>
      </w:r>
      <w:r>
        <w:rPr>
          <w:rFonts w:hint="eastAsia" w:ascii="黑体" w:hAnsi="宋体" w:eastAsia="黑体"/>
          <w:sz w:val="24"/>
          <w:lang w:val="en-US" w:eastAsia="zh-CN"/>
        </w:rPr>
        <w:t>毕业要求</w:t>
      </w:r>
    </w:p>
    <w:p>
      <w:pPr>
        <w:spacing w:before="93" w:beforeLines="30" w:after="93" w:afterLines="30" w:line="360" w:lineRule="auto"/>
        <w:ind w:firstLine="436"/>
        <w:rPr>
          <w:rFonts w:hint="eastAsia" w:ascii="楷体_GB2312" w:hAnsi="宋体" w:eastAsia="楷体_GB2312"/>
          <w:spacing w:val="2"/>
          <w:szCs w:val="21"/>
        </w:rPr>
      </w:pPr>
      <w:r>
        <w:rPr>
          <w:rFonts w:hint="eastAsia" w:ascii="楷体_GB2312" w:hAnsi="宋体" w:eastAsia="楷体_GB2312"/>
          <w:spacing w:val="2"/>
          <w:szCs w:val="21"/>
        </w:rPr>
        <w:t>即对毕业生应获得的知识、能力与素质的要求。毕业要求应能支撑培养目标的达成。</w:t>
      </w:r>
    </w:p>
    <w:p>
      <w:pPr>
        <w:spacing w:before="93" w:beforeLines="30" w:after="93" w:afterLines="30" w:line="360" w:lineRule="auto"/>
        <w:rPr>
          <w:rFonts w:hint="eastAsia" w:ascii="黑体" w:hAnsi="宋体" w:eastAsia="黑体"/>
          <w:sz w:val="24"/>
        </w:rPr>
      </w:pPr>
      <w:r>
        <w:rPr>
          <w:rFonts w:hint="eastAsia" w:ascii="黑体" w:hAnsi="宋体" w:eastAsia="黑体"/>
          <w:sz w:val="24"/>
        </w:rPr>
        <w:t>五、</w:t>
      </w:r>
      <w:r>
        <w:rPr>
          <w:rFonts w:hint="eastAsia" w:ascii="黑体" w:hAnsi="宋体" w:eastAsia="黑体"/>
          <w:sz w:val="24"/>
          <w:lang w:val="en-US" w:eastAsia="zh-CN"/>
        </w:rPr>
        <w:t>核心</w:t>
      </w:r>
      <w:r>
        <w:rPr>
          <w:rFonts w:hint="eastAsia" w:ascii="黑体" w:hAnsi="宋体" w:eastAsia="黑体"/>
          <w:sz w:val="24"/>
          <w:lang w:eastAsia="zh-CN"/>
        </w:rPr>
        <w:t>主干</w:t>
      </w:r>
      <w:r>
        <w:rPr>
          <w:rFonts w:hint="eastAsia" w:ascii="黑体" w:hAnsi="宋体" w:eastAsia="黑体"/>
          <w:sz w:val="24"/>
          <w:lang w:val="en-US" w:eastAsia="zh-CN"/>
        </w:rPr>
        <w:t>课程、应用型主干课程</w:t>
      </w:r>
    </w:p>
    <w:p>
      <w:pPr>
        <w:spacing w:before="93" w:beforeLines="30" w:after="93" w:afterLines="30" w:line="360" w:lineRule="auto"/>
        <w:ind w:firstLine="428" w:firstLineChars="200"/>
        <w:rPr>
          <w:rFonts w:hint="eastAsia" w:ascii="楷体_GB2312" w:hAnsi="宋体" w:eastAsia="楷体_GB2312"/>
          <w:color w:val="FF0000"/>
          <w:spacing w:val="2"/>
          <w:szCs w:val="21"/>
        </w:rPr>
      </w:pPr>
      <w:r>
        <w:rPr>
          <w:rFonts w:hint="eastAsia" w:ascii="楷体_GB2312" w:hAnsi="宋体" w:eastAsia="楷体_GB2312"/>
          <w:color w:val="FF0000"/>
          <w:spacing w:val="2"/>
          <w:szCs w:val="21"/>
          <w:lang w:eastAsia="zh-CN"/>
        </w:rPr>
        <w:t>核心主干课程：</w:t>
      </w:r>
      <w:r>
        <w:rPr>
          <w:rFonts w:hint="eastAsia" w:ascii="楷体_GB2312" w:hAnsi="宋体" w:eastAsia="楷体_GB2312"/>
          <w:color w:val="FF0000"/>
          <w:spacing w:val="2"/>
          <w:szCs w:val="21"/>
        </w:rPr>
        <w:t>（请按重要程度排序，此句阅后删除）</w:t>
      </w:r>
    </w:p>
    <w:p>
      <w:pPr>
        <w:spacing w:before="93" w:beforeLines="30" w:after="93" w:afterLines="30" w:line="360" w:lineRule="auto"/>
        <w:ind w:firstLine="428" w:firstLineChars="200"/>
        <w:rPr>
          <w:rFonts w:hint="eastAsia" w:ascii="楷体_GB2312" w:hAnsi="宋体" w:eastAsia="楷体_GB2312"/>
          <w:color w:val="FF0000"/>
          <w:spacing w:val="2"/>
          <w:szCs w:val="21"/>
          <w:lang w:eastAsia="zh-CN"/>
        </w:rPr>
      </w:pPr>
      <w:r>
        <w:rPr>
          <w:rFonts w:hint="eastAsia" w:ascii="楷体_GB2312" w:hAnsi="宋体" w:eastAsia="楷体_GB2312"/>
          <w:color w:val="FF0000"/>
          <w:spacing w:val="2"/>
          <w:szCs w:val="21"/>
          <w:lang w:eastAsia="zh-CN"/>
        </w:rPr>
        <w:t>应用型主干课程：</w:t>
      </w:r>
      <w:r>
        <w:rPr>
          <w:rFonts w:hint="eastAsia" w:ascii="楷体_GB2312" w:hAnsi="宋体" w:eastAsia="楷体_GB2312"/>
          <w:color w:val="FF0000"/>
          <w:spacing w:val="2"/>
          <w:szCs w:val="21"/>
        </w:rPr>
        <w:t>（请按重要程度排序，此句阅后删除）</w:t>
      </w:r>
    </w:p>
    <w:p>
      <w:pPr>
        <w:spacing w:before="93" w:beforeLines="30" w:after="93" w:afterLines="30" w:line="360" w:lineRule="auto"/>
        <w:rPr>
          <w:rFonts w:hint="eastAsia" w:ascii="黑体" w:hAnsi="宋体" w:eastAsia="黑体"/>
          <w:sz w:val="24"/>
        </w:rPr>
      </w:pPr>
      <w:r>
        <w:rPr>
          <w:rFonts w:hint="eastAsia" w:ascii="黑体" w:hAnsi="宋体" w:eastAsia="黑体"/>
          <w:sz w:val="24"/>
        </w:rPr>
        <w:t xml:space="preserve">六、毕业最低学分要求 </w:t>
      </w:r>
      <w:r>
        <w:rPr>
          <w:rFonts w:hint="eastAsia" w:ascii="黑体" w:hAnsi="宋体" w:eastAsia="黑体"/>
          <w:color w:val="FF0000"/>
          <w:sz w:val="24"/>
          <w:lang w:eastAsia="zh-CN"/>
        </w:rPr>
        <w:t>（</w:t>
      </w:r>
      <w:r>
        <w:rPr>
          <w:rFonts w:hint="eastAsia" w:ascii="仿宋_GB2312" w:hAnsi="楷体" w:eastAsia="仿宋_GB2312"/>
          <w:color w:val="FF0000"/>
          <w:spacing w:val="-6"/>
          <w:kern w:val="0"/>
        </w:rPr>
        <w:t>百分比请保留一位小数点。此句阅后删除</w:t>
      </w:r>
      <w:r>
        <w:rPr>
          <w:rFonts w:hint="eastAsia" w:ascii="仿宋_GB2312" w:hAnsi="楷体" w:eastAsia="仿宋_GB2312"/>
          <w:color w:val="FF0000"/>
          <w:spacing w:val="-6"/>
          <w:kern w:val="0"/>
          <w:lang w:eastAsia="zh-CN"/>
        </w:rPr>
        <w:t>）</w:t>
      </w: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
      <w:tblGrid>
        <w:gridCol w:w="1617"/>
        <w:gridCol w:w="2430"/>
        <w:gridCol w:w="1076"/>
        <w:gridCol w:w="1245"/>
        <w:gridCol w:w="994"/>
        <w:gridCol w:w="1220"/>
        <w:gridCol w:w="108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4047" w:type="dxa"/>
            <w:gridSpan w:val="2"/>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类 别</w:t>
            </w:r>
          </w:p>
        </w:tc>
        <w:tc>
          <w:tcPr>
            <w:tcW w:w="2321"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99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学分数</w:t>
            </w:r>
          </w:p>
        </w:tc>
        <w:tc>
          <w:tcPr>
            <w:tcW w:w="1220"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各类别占总 学分百分比</w:t>
            </w:r>
          </w:p>
        </w:tc>
        <w:tc>
          <w:tcPr>
            <w:tcW w:w="1086" w:type="dxa"/>
            <w:vMerge w:val="restart"/>
            <w:vAlign w:val="center"/>
          </w:tcPr>
          <w:p>
            <w:pPr>
              <w:jc w:val="center"/>
              <w:rPr>
                <w:rFonts w:hint="eastAsia" w:ascii="楷体_GB2312" w:hAnsi="宋体" w:eastAsia="楷体_GB2312"/>
                <w:szCs w:val="21"/>
              </w:rPr>
            </w:pPr>
            <w:r>
              <w:rPr>
                <w:rFonts w:hint="eastAsia" w:ascii="楷体_GB2312" w:hAnsi="宋体" w:eastAsia="楷体_GB2312"/>
                <w:szCs w:val="21"/>
              </w:rPr>
              <w:t>实践学分占总学分</w:t>
            </w:r>
          </w:p>
          <w:p>
            <w:pPr>
              <w:jc w:val="center"/>
              <w:rPr>
                <w:rFonts w:hint="eastAsia" w:ascii="楷体_GB2312" w:hAnsi="宋体" w:eastAsia="楷体_GB2312"/>
                <w:szCs w:val="21"/>
              </w:rPr>
            </w:pPr>
            <w:r>
              <w:rPr>
                <w:rFonts w:hint="eastAsia" w:ascii="楷体_GB2312" w:hAnsi="宋体" w:eastAsia="楷体_GB2312"/>
                <w:szCs w:val="21"/>
              </w:rPr>
              <w:t>百分比</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4047" w:type="dxa"/>
            <w:gridSpan w:val="2"/>
            <w:vMerge w:val="continue"/>
            <w:vAlign w:val="center"/>
          </w:tcPr>
          <w:p>
            <w:pPr>
              <w:rPr>
                <w:rFonts w:hint="eastAsia" w:ascii="楷体_GB2312" w:hAnsi="宋体" w:eastAsia="楷体_GB2312"/>
                <w:szCs w:val="21"/>
              </w:rPr>
            </w:pPr>
          </w:p>
        </w:tc>
        <w:tc>
          <w:tcPr>
            <w:tcW w:w="10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总学时</w:t>
            </w: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94" w:type="dxa"/>
            <w:vMerge w:val="continue"/>
            <w:vAlign w:val="center"/>
          </w:tcPr>
          <w:p>
            <w:pPr>
              <w:rPr>
                <w:rFonts w:hint="eastAsia" w:ascii="楷体_GB2312" w:hAnsi="宋体" w:eastAsia="楷体_GB2312"/>
                <w:szCs w:val="21"/>
              </w:rPr>
            </w:pPr>
          </w:p>
        </w:tc>
        <w:tc>
          <w:tcPr>
            <w:tcW w:w="1220" w:type="dxa"/>
            <w:vMerge w:val="continue"/>
            <w:vAlign w:val="center"/>
          </w:tcPr>
          <w:p>
            <w:pPr>
              <w:rPr>
                <w:rFonts w:hint="eastAsia" w:ascii="楷体_GB2312" w:hAnsi="宋体" w:eastAsia="楷体_GB2312"/>
                <w:szCs w:val="21"/>
              </w:rPr>
            </w:pPr>
          </w:p>
        </w:tc>
        <w:tc>
          <w:tcPr>
            <w:tcW w:w="1086" w:type="dxa"/>
            <w:vMerge w:val="continue"/>
            <w:vAlign w:val="center"/>
          </w:tcPr>
          <w:p>
            <w:pP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4047" w:type="dxa"/>
            <w:gridSpan w:val="2"/>
            <w:vMerge w:val="continue"/>
            <w:vAlign w:val="center"/>
          </w:tcPr>
          <w:p>
            <w:pPr>
              <w:rPr>
                <w:rFonts w:hint="eastAsia" w:ascii="楷体_GB2312" w:hAnsi="宋体" w:eastAsia="楷体_GB2312"/>
                <w:szCs w:val="21"/>
              </w:rPr>
            </w:pPr>
          </w:p>
        </w:tc>
        <w:tc>
          <w:tcPr>
            <w:tcW w:w="1076" w:type="dxa"/>
            <w:vMerge w:val="continue"/>
            <w:vAlign w:val="center"/>
          </w:tcPr>
          <w:p>
            <w:pP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实验(实践)</w:t>
            </w:r>
          </w:p>
        </w:tc>
        <w:tc>
          <w:tcPr>
            <w:tcW w:w="994" w:type="dxa"/>
            <w:vMerge w:val="continue"/>
            <w:vAlign w:val="center"/>
          </w:tcPr>
          <w:p>
            <w:pPr>
              <w:rPr>
                <w:rFonts w:hint="eastAsia" w:ascii="楷体_GB2312" w:hAnsi="宋体" w:eastAsia="楷体_GB2312"/>
                <w:szCs w:val="21"/>
              </w:rPr>
            </w:pPr>
          </w:p>
        </w:tc>
        <w:tc>
          <w:tcPr>
            <w:tcW w:w="1220" w:type="dxa"/>
            <w:vMerge w:val="continue"/>
            <w:vAlign w:val="center"/>
          </w:tcPr>
          <w:p>
            <w:pPr>
              <w:rPr>
                <w:rFonts w:hint="eastAsia" w:ascii="楷体_GB2312" w:hAnsi="宋体" w:eastAsia="楷体_GB2312"/>
                <w:szCs w:val="21"/>
              </w:rPr>
            </w:pPr>
          </w:p>
        </w:tc>
        <w:tc>
          <w:tcPr>
            <w:tcW w:w="1086" w:type="dxa"/>
            <w:vMerge w:val="continue"/>
            <w:vAlign w:val="center"/>
          </w:tcPr>
          <w:p>
            <w:pP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restart"/>
            <w:tcMar>
              <w:top w:w="15" w:type="dxa"/>
              <w:left w:w="15" w:type="dxa"/>
              <w:bottom w:w="0" w:type="dxa"/>
              <w:right w:w="15" w:type="dxa"/>
            </w:tcMar>
            <w:vAlign w:val="center"/>
          </w:tcPr>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基本素质</w:t>
            </w:r>
          </w:p>
          <w:p>
            <w:pPr>
              <w:jc w:val="center"/>
              <w:rPr>
                <w:rFonts w:hint="eastAsia" w:ascii="楷体_GB2312" w:hAnsi="宋体" w:eastAsia="楷体_GB2312"/>
                <w:szCs w:val="21"/>
              </w:rPr>
            </w:pPr>
            <w:r>
              <w:rPr>
                <w:rFonts w:hint="eastAsia" w:ascii="楷体_GB2312" w:hAnsi="宋体" w:eastAsia="楷体_GB2312" w:cs="仿宋_GB2312"/>
                <w:szCs w:val="21"/>
              </w:rPr>
              <w:t>平台</w:t>
            </w:r>
          </w:p>
        </w:tc>
        <w:tc>
          <w:tcPr>
            <w:tcW w:w="2430"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cs="仿宋_GB2312"/>
                <w:szCs w:val="21"/>
              </w:rPr>
              <w:t>基础通识模块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cs="仿宋_GB2312"/>
                <w:szCs w:val="21"/>
              </w:rPr>
              <w:t>拓展通识模块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cs="仿宋_GB2312"/>
                <w:szCs w:val="21"/>
              </w:rPr>
              <w:t>创新创业模块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cs="仿宋_GB2312"/>
                <w:szCs w:val="21"/>
              </w:rPr>
            </w:pPr>
            <w:r>
              <w:rPr>
                <w:rFonts w:hint="eastAsia" w:ascii="楷体_GB2312" w:hAnsi="宋体" w:eastAsia="楷体_GB2312" w:cs="仿宋_GB2312"/>
                <w:szCs w:val="21"/>
                <w:lang w:eastAsia="zh-CN"/>
              </w:rPr>
              <w:t>素质通识</w:t>
            </w:r>
            <w:r>
              <w:rPr>
                <w:rFonts w:hint="eastAsia" w:ascii="楷体_GB2312" w:hAnsi="宋体" w:eastAsia="楷体_GB2312" w:cs="仿宋_GB2312"/>
                <w:szCs w:val="21"/>
              </w:rPr>
              <w:t>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cs="仿宋_GB2312"/>
                <w:szCs w:val="21"/>
              </w:rPr>
            </w:pPr>
            <w:r>
              <w:rPr>
                <w:rFonts w:hint="eastAsia" w:ascii="楷体_GB2312" w:hAnsi="宋体" w:eastAsia="楷体_GB2312" w:cs="仿宋_GB2312"/>
                <w:szCs w:val="21"/>
              </w:rPr>
              <w:t>小计</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restart"/>
            <w:vAlign w:val="center"/>
          </w:tcPr>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专业知识</w:t>
            </w:r>
          </w:p>
          <w:p>
            <w:pPr>
              <w:ind w:firstLine="525" w:firstLineChars="250"/>
              <w:rPr>
                <w:rFonts w:hint="eastAsia" w:ascii="楷体_GB2312" w:hAnsi="宋体" w:eastAsia="楷体_GB2312"/>
                <w:szCs w:val="21"/>
              </w:rPr>
            </w:pPr>
            <w:r>
              <w:rPr>
                <w:rFonts w:hint="eastAsia" w:ascii="楷体_GB2312" w:hAnsi="宋体" w:eastAsia="楷体_GB2312" w:cs="仿宋_GB2312"/>
                <w:szCs w:val="21"/>
              </w:rPr>
              <w:t>平台</w:t>
            </w:r>
          </w:p>
        </w:tc>
        <w:tc>
          <w:tcPr>
            <w:tcW w:w="2430"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cs="仿宋_GB2312"/>
                <w:szCs w:val="21"/>
              </w:rPr>
              <w:t>跨专业知识模块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cs="仿宋_GB2312"/>
                <w:szCs w:val="21"/>
              </w:rPr>
              <w:t>专业基础模块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cs="仿宋_GB2312"/>
                <w:szCs w:val="21"/>
              </w:rPr>
            </w:pPr>
            <w:r>
              <w:rPr>
                <w:rFonts w:hint="eastAsia" w:ascii="楷体_GB2312" w:hAnsi="宋体" w:eastAsia="楷体_GB2312" w:cs="仿宋_GB2312"/>
                <w:szCs w:val="21"/>
              </w:rPr>
              <w:t>小计</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restart"/>
            <w:vAlign w:val="center"/>
          </w:tcPr>
          <w:p>
            <w:pPr>
              <w:snapToGrid w:val="0"/>
              <w:spacing w:line="360" w:lineRule="auto"/>
              <w:jc w:val="center"/>
              <w:rPr>
                <w:rFonts w:hint="eastAsia" w:ascii="楷体_GB2312" w:hAnsi="宋体" w:eastAsia="楷体_GB2312"/>
                <w:szCs w:val="21"/>
              </w:rPr>
            </w:pPr>
            <w:r>
              <w:rPr>
                <w:rFonts w:hint="eastAsia" w:ascii="楷体_GB2312" w:hAnsi="宋体" w:eastAsia="楷体_GB2312" w:cs="仿宋_GB2312"/>
                <w:szCs w:val="21"/>
              </w:rPr>
              <w:t>应用能力</w:t>
            </w:r>
          </w:p>
          <w:p>
            <w:pPr>
              <w:ind w:firstLine="525" w:firstLineChars="250"/>
              <w:rPr>
                <w:rFonts w:hint="eastAsia" w:ascii="楷体_GB2312" w:hAnsi="宋体" w:eastAsia="楷体_GB2312"/>
                <w:szCs w:val="21"/>
              </w:rPr>
            </w:pPr>
            <w:r>
              <w:rPr>
                <w:rFonts w:hint="eastAsia" w:ascii="楷体_GB2312" w:hAnsi="宋体" w:eastAsia="楷体_GB2312" w:cs="仿宋_GB2312"/>
                <w:szCs w:val="21"/>
              </w:rPr>
              <w:t>平台</w:t>
            </w:r>
          </w:p>
        </w:tc>
        <w:tc>
          <w:tcPr>
            <w:tcW w:w="2430" w:type="dxa"/>
            <w:tcMar>
              <w:top w:w="15" w:type="dxa"/>
              <w:left w:w="15" w:type="dxa"/>
              <w:bottom w:w="0" w:type="dxa"/>
              <w:right w:w="15" w:type="dxa"/>
            </w:tcMar>
            <w:vAlign w:val="center"/>
          </w:tcPr>
          <w:p>
            <w:pPr>
              <w:jc w:val="center"/>
              <w:rPr>
                <w:rFonts w:hint="eastAsia" w:ascii="楷体_GB2312" w:hAnsi="宋体" w:eastAsia="楷体_GB2312" w:cs="仿宋_GB2312"/>
                <w:szCs w:val="21"/>
              </w:rPr>
            </w:pPr>
            <w:r>
              <w:rPr>
                <w:rFonts w:hint="eastAsia" w:ascii="楷体_GB2312" w:hAnsi="宋体" w:eastAsia="楷体_GB2312" w:cs="仿宋_GB2312"/>
                <w:szCs w:val="21"/>
              </w:rPr>
              <w:t>基本能力模块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cs="仿宋_GB2312"/>
                <w:szCs w:val="21"/>
              </w:rPr>
            </w:pPr>
            <w:r>
              <w:rPr>
                <w:rFonts w:hint="eastAsia" w:ascii="楷体_GB2312" w:hAnsi="宋体" w:eastAsia="楷体_GB2312" w:cs="仿宋_GB2312"/>
                <w:szCs w:val="21"/>
              </w:rPr>
              <w:t>岗位能力模块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cs="仿宋_GB2312"/>
                <w:szCs w:val="21"/>
              </w:rPr>
            </w:pPr>
            <w:r>
              <w:rPr>
                <w:rFonts w:hint="eastAsia" w:ascii="楷体_GB2312" w:hAnsi="宋体" w:eastAsia="楷体_GB2312" w:cs="仿宋_GB2312"/>
                <w:szCs w:val="21"/>
              </w:rPr>
              <w:t>践训能力模块</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1617" w:type="dxa"/>
            <w:vMerge w:val="continue"/>
            <w:vAlign w:val="center"/>
          </w:tcPr>
          <w:p>
            <w:pPr>
              <w:rPr>
                <w:rFonts w:hint="eastAsia" w:ascii="楷体_GB2312" w:hAnsi="宋体" w:eastAsia="楷体_GB2312"/>
                <w:szCs w:val="21"/>
              </w:rPr>
            </w:pPr>
          </w:p>
        </w:tc>
        <w:tc>
          <w:tcPr>
            <w:tcW w:w="2430" w:type="dxa"/>
            <w:tcMar>
              <w:top w:w="15" w:type="dxa"/>
              <w:left w:w="15" w:type="dxa"/>
              <w:bottom w:w="0" w:type="dxa"/>
              <w:right w:w="15" w:type="dxa"/>
            </w:tcMar>
            <w:vAlign w:val="center"/>
          </w:tcPr>
          <w:p>
            <w:pPr>
              <w:jc w:val="center"/>
              <w:rPr>
                <w:rFonts w:hint="eastAsia" w:ascii="楷体_GB2312" w:hAnsi="宋体" w:eastAsia="楷体_GB2312" w:cs="仿宋_GB2312"/>
                <w:szCs w:val="21"/>
              </w:rPr>
            </w:pPr>
            <w:r>
              <w:rPr>
                <w:rFonts w:hint="eastAsia" w:ascii="楷体_GB2312" w:hAnsi="宋体" w:eastAsia="楷体_GB2312" w:cs="仿宋_GB2312"/>
                <w:szCs w:val="21"/>
              </w:rPr>
              <w:t>小计</w:t>
            </w:r>
          </w:p>
        </w:tc>
        <w:tc>
          <w:tcPr>
            <w:tcW w:w="10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4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9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1220" w:type="dxa"/>
            <w:tcMar>
              <w:top w:w="15" w:type="dxa"/>
              <w:left w:w="15" w:type="dxa"/>
              <w:bottom w:w="0" w:type="dxa"/>
              <w:right w:w="15" w:type="dxa"/>
            </w:tcMar>
            <w:vAlign w:val="center"/>
          </w:tcPr>
          <w:p>
            <w:pPr>
              <w:autoSpaceDN w:val="0"/>
              <w:jc w:val="center"/>
              <w:textAlignment w:val="center"/>
              <w:rPr>
                <w:rFonts w:hint="eastAsia" w:ascii="楷体_GB2312" w:hAnsi="宋体" w:eastAsia="楷体_GB2312"/>
                <w:szCs w:val="21"/>
              </w:rPr>
            </w:pPr>
          </w:p>
        </w:tc>
        <w:tc>
          <w:tcPr>
            <w:tcW w:w="1086" w:type="dxa"/>
            <w:vAlign w:val="center"/>
          </w:tcPr>
          <w:p>
            <w:pPr>
              <w:autoSpaceDN w:val="0"/>
              <w:jc w:val="center"/>
              <w:textAlignment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0" w:type="dxa"/>
            <w:bottom w:w="0" w:type="dxa"/>
            <w:right w:w="0" w:type="dxa"/>
          </w:tblCellMar>
        </w:tblPrEx>
        <w:trPr>
          <w:trHeight w:val="340" w:hRule="atLeast"/>
        </w:trPr>
        <w:tc>
          <w:tcPr>
            <w:tcW w:w="4047"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合  计</w:t>
            </w:r>
          </w:p>
        </w:tc>
        <w:tc>
          <w:tcPr>
            <w:tcW w:w="2321" w:type="dxa"/>
            <w:gridSpan w:val="2"/>
            <w:vAlign w:val="center"/>
          </w:tcPr>
          <w:p>
            <w:pPr>
              <w:jc w:val="center"/>
              <w:rPr>
                <w:rFonts w:hint="eastAsia" w:ascii="楷体_GB2312" w:hAnsi="宋体" w:eastAsia="楷体_GB2312"/>
                <w:szCs w:val="21"/>
              </w:rPr>
            </w:pPr>
          </w:p>
        </w:tc>
        <w:tc>
          <w:tcPr>
            <w:tcW w:w="994" w:type="dxa"/>
            <w:vAlign w:val="center"/>
          </w:tcPr>
          <w:p>
            <w:pPr>
              <w:jc w:val="center"/>
              <w:rPr>
                <w:rFonts w:hint="eastAsia" w:ascii="楷体_GB2312" w:hAnsi="宋体" w:eastAsia="楷体_GB2312"/>
                <w:szCs w:val="21"/>
              </w:rPr>
            </w:pPr>
          </w:p>
        </w:tc>
        <w:tc>
          <w:tcPr>
            <w:tcW w:w="1220" w:type="dxa"/>
            <w:vAlign w:val="center"/>
          </w:tcPr>
          <w:p>
            <w:pPr>
              <w:jc w:val="center"/>
              <w:rPr>
                <w:rFonts w:hint="eastAsia" w:ascii="楷体_GB2312" w:hAnsi="宋体" w:eastAsia="楷体_GB2312"/>
                <w:szCs w:val="21"/>
              </w:rPr>
            </w:pPr>
          </w:p>
        </w:tc>
        <w:tc>
          <w:tcPr>
            <w:tcW w:w="1086" w:type="dxa"/>
            <w:vAlign w:val="center"/>
          </w:tcPr>
          <w:p>
            <w:pPr>
              <w:jc w:val="center"/>
              <w:rPr>
                <w:rFonts w:hint="eastAsia" w:ascii="楷体_GB2312" w:hAnsi="宋体" w:eastAsia="楷体_GB2312"/>
                <w:szCs w:val="21"/>
              </w:rPr>
            </w:pPr>
          </w:p>
        </w:tc>
      </w:tr>
    </w:tbl>
    <w:p>
      <w:pPr>
        <w:spacing w:line="360" w:lineRule="auto"/>
        <w:rPr>
          <w:rFonts w:hint="eastAsia" w:ascii="黑体" w:hAnsi="宋体" w:eastAsia="黑体"/>
          <w:sz w:val="24"/>
        </w:rPr>
      </w:pPr>
      <w:r>
        <w:rPr>
          <w:rFonts w:hint="eastAsia" w:ascii="黑体" w:hAnsi="宋体" w:eastAsia="黑体"/>
          <w:sz w:val="24"/>
        </w:rPr>
        <w:t>七、课程设置、各教学环节安排</w:t>
      </w:r>
    </w:p>
    <w:p>
      <w:pPr>
        <w:rPr>
          <w:rFonts w:hint="eastAsia" w:ascii="黑体" w:hAnsi="宋体" w:eastAsia="黑体"/>
          <w:szCs w:val="21"/>
        </w:rPr>
      </w:pPr>
      <w:r>
        <w:rPr>
          <w:rFonts w:hint="eastAsia" w:ascii="黑体" w:hAnsi="宋体" w:eastAsia="黑体"/>
          <w:szCs w:val="21"/>
        </w:rPr>
        <w:t>（一）基本素质平台（应修***学分）</w:t>
      </w:r>
    </w:p>
    <w:p>
      <w:pPr>
        <w:rPr>
          <w:rFonts w:hint="eastAsia" w:ascii="黑体" w:hAnsi="宋体" w:eastAsia="黑体"/>
          <w:szCs w:val="21"/>
        </w:rPr>
      </w:pPr>
      <w:r>
        <w:rPr>
          <w:rFonts w:hint="eastAsia" w:ascii="黑体" w:hAnsi="宋体" w:eastAsia="黑体"/>
          <w:szCs w:val="21"/>
        </w:rPr>
        <w:t>1．基础通识模块</w:t>
      </w:r>
    </w:p>
    <w:p>
      <w:pPr>
        <w:rPr>
          <w:rFonts w:hint="eastAsia" w:ascii="楷体_GB2312" w:hAnsi="宋体" w:eastAsia="楷体_GB2312"/>
          <w:szCs w:val="21"/>
        </w:rPr>
      </w:pP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5"/>
        <w:gridCol w:w="2644"/>
        <w:gridCol w:w="401"/>
        <w:gridCol w:w="485"/>
        <w:gridCol w:w="476"/>
        <w:gridCol w:w="948"/>
        <w:gridCol w:w="474"/>
        <w:gridCol w:w="475"/>
        <w:gridCol w:w="475"/>
        <w:gridCol w:w="475"/>
        <w:gridCol w:w="475"/>
        <w:gridCol w:w="475"/>
        <w:gridCol w:w="475"/>
        <w:gridCol w:w="4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开 课</w:t>
            </w:r>
          </w:p>
          <w:p>
            <w:pPr>
              <w:jc w:val="center"/>
              <w:rPr>
                <w:rFonts w:hint="eastAsia" w:ascii="楷体_GB2312" w:hAnsi="宋体" w:eastAsia="楷体_GB2312"/>
                <w:szCs w:val="21"/>
              </w:rPr>
            </w:pPr>
            <w:r>
              <w:rPr>
                <w:rFonts w:hint="eastAsia" w:ascii="楷体_GB2312" w:hAnsi="宋体" w:eastAsia="楷体_GB2312"/>
                <w:szCs w:val="21"/>
              </w:rPr>
              <w:t>单 位</w:t>
            </w:r>
          </w:p>
        </w:tc>
        <w:tc>
          <w:tcPr>
            <w:tcW w:w="264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名 称</w:t>
            </w:r>
          </w:p>
        </w:tc>
        <w:tc>
          <w:tcPr>
            <w:tcW w:w="401"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考</w:t>
            </w:r>
          </w:p>
          <w:p>
            <w:pPr>
              <w:jc w:val="center"/>
              <w:rPr>
                <w:rFonts w:hint="eastAsia" w:ascii="楷体_GB2312" w:hAnsi="宋体" w:eastAsia="楷体_GB2312"/>
                <w:szCs w:val="21"/>
              </w:rPr>
            </w:pPr>
            <w:r>
              <w:rPr>
                <w:rFonts w:hint="eastAsia" w:ascii="楷体_GB2312" w:hAnsi="宋体" w:eastAsia="楷体_GB2312"/>
                <w:szCs w:val="21"/>
              </w:rPr>
              <w:t>核</w:t>
            </w:r>
          </w:p>
          <w:p>
            <w:pPr>
              <w:jc w:val="center"/>
              <w:rPr>
                <w:rFonts w:hint="eastAsia" w:ascii="楷体_GB2312" w:hAnsi="宋体" w:eastAsia="楷体_GB2312"/>
                <w:szCs w:val="21"/>
              </w:rPr>
            </w:pPr>
            <w:r>
              <w:rPr>
                <w:rFonts w:hint="eastAsia" w:ascii="楷体_GB2312" w:hAnsi="宋体" w:eastAsia="楷体_GB2312"/>
                <w:szCs w:val="21"/>
              </w:rPr>
              <w:t>方</w:t>
            </w:r>
          </w:p>
          <w:p>
            <w:pPr>
              <w:jc w:val="center"/>
              <w:rPr>
                <w:rFonts w:hint="eastAsia" w:ascii="楷体_GB2312" w:hAnsi="宋体" w:eastAsia="楷体_GB2312"/>
                <w:szCs w:val="21"/>
              </w:rPr>
            </w:pPr>
            <w:r>
              <w:rPr>
                <w:rFonts w:hint="eastAsia" w:ascii="楷体_GB2312" w:hAnsi="宋体" w:eastAsia="楷体_GB2312"/>
                <w:szCs w:val="21"/>
              </w:rPr>
              <w:t>式</w:t>
            </w:r>
          </w:p>
        </w:tc>
        <w:tc>
          <w:tcPr>
            <w:tcW w:w="48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分</w:t>
            </w:r>
          </w:p>
        </w:tc>
        <w:tc>
          <w:tcPr>
            <w:tcW w:w="1424"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3799" w:type="dxa"/>
            <w:gridSpan w:val="8"/>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w:t>
            </w:r>
          </w:p>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时</w:t>
            </w: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49"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第一学年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第二学年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第三学年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continue"/>
            <w:vAlign w:val="center"/>
          </w:tcPr>
          <w:p>
            <w:pP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w:t>
            </w:r>
          </w:p>
          <w:p>
            <w:pPr>
              <w:jc w:val="center"/>
              <w:rPr>
                <w:rFonts w:hint="eastAsia" w:ascii="楷体_GB2312" w:hAnsi="宋体" w:eastAsia="楷体_GB2312"/>
                <w:szCs w:val="21"/>
              </w:rPr>
            </w:pPr>
            <w:r>
              <w:rPr>
                <w:rFonts w:hint="eastAsia" w:ascii="楷体_GB2312" w:hAnsi="宋体" w:eastAsia="楷体_GB2312"/>
                <w:szCs w:val="21"/>
              </w:rPr>
              <w:t>(实践)</w:t>
            </w: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1</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2</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3</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4</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5</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6</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7</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rPr>
                <w:rFonts w:hint="eastAsia" w:ascii="楷体_GB2312" w:hAnsi="宋体" w:eastAsia="楷体_GB2312"/>
                <w:spacing w:val="-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3960" w:type="dxa"/>
            <w:gridSpan w:val="3"/>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eastAsia="楷体_GB2312"/>
                <w:szCs w:val="21"/>
              </w:rPr>
              <w:t>小  计</w:t>
            </w: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r>
    </w:tbl>
    <w:p>
      <w:pPr>
        <w:spacing w:before="78" w:beforeLines="25"/>
        <w:rPr>
          <w:rFonts w:hint="eastAsia" w:ascii="楷体_GB2312" w:hAnsi="宋体" w:eastAsia="楷体_GB2312"/>
          <w:bCs/>
          <w:szCs w:val="21"/>
        </w:rPr>
      </w:pPr>
      <w:r>
        <w:rPr>
          <w:rFonts w:hint="eastAsia" w:ascii="楷体_GB2312" w:hAnsi="宋体" w:eastAsia="楷体_GB2312"/>
          <w:bCs/>
          <w:szCs w:val="21"/>
        </w:rPr>
        <w:t>注：考核方式“1”为考试，“2”为考查，下同。</w:t>
      </w:r>
    </w:p>
    <w:p>
      <w:pPr>
        <w:rPr>
          <w:rFonts w:hint="eastAsia" w:ascii="黑体" w:hAnsi="宋体" w:eastAsia="黑体"/>
          <w:szCs w:val="21"/>
        </w:rPr>
      </w:pPr>
      <w:r>
        <w:rPr>
          <w:rFonts w:hint="eastAsia" w:ascii="黑体" w:hAnsi="宋体" w:eastAsia="黑体"/>
          <w:szCs w:val="21"/>
        </w:rPr>
        <w:t>2．拓展通识模块</w:t>
      </w:r>
    </w:p>
    <w:p>
      <w:pPr>
        <w:rPr>
          <w:rFonts w:hint="eastAsia" w:ascii="黑体" w:hAnsi="宋体" w:eastAsia="黑体"/>
          <w:szCs w:val="21"/>
        </w:rPr>
      </w:pP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5"/>
        <w:gridCol w:w="2644"/>
        <w:gridCol w:w="401"/>
        <w:gridCol w:w="485"/>
        <w:gridCol w:w="476"/>
        <w:gridCol w:w="948"/>
        <w:gridCol w:w="474"/>
        <w:gridCol w:w="475"/>
        <w:gridCol w:w="475"/>
        <w:gridCol w:w="475"/>
        <w:gridCol w:w="475"/>
        <w:gridCol w:w="475"/>
        <w:gridCol w:w="475"/>
        <w:gridCol w:w="4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开 课</w:t>
            </w:r>
          </w:p>
          <w:p>
            <w:pPr>
              <w:jc w:val="center"/>
              <w:rPr>
                <w:rFonts w:hint="eastAsia" w:ascii="楷体_GB2312" w:hAnsi="宋体" w:eastAsia="楷体_GB2312"/>
                <w:szCs w:val="21"/>
              </w:rPr>
            </w:pPr>
            <w:r>
              <w:rPr>
                <w:rFonts w:hint="eastAsia" w:ascii="楷体_GB2312" w:hAnsi="宋体" w:eastAsia="楷体_GB2312"/>
                <w:szCs w:val="21"/>
              </w:rPr>
              <w:t>单 位</w:t>
            </w:r>
          </w:p>
        </w:tc>
        <w:tc>
          <w:tcPr>
            <w:tcW w:w="264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名 称</w:t>
            </w:r>
          </w:p>
        </w:tc>
        <w:tc>
          <w:tcPr>
            <w:tcW w:w="401"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考</w:t>
            </w:r>
          </w:p>
          <w:p>
            <w:pPr>
              <w:jc w:val="center"/>
              <w:rPr>
                <w:rFonts w:hint="eastAsia" w:ascii="楷体_GB2312" w:hAnsi="宋体" w:eastAsia="楷体_GB2312"/>
                <w:szCs w:val="21"/>
              </w:rPr>
            </w:pPr>
            <w:r>
              <w:rPr>
                <w:rFonts w:hint="eastAsia" w:ascii="楷体_GB2312" w:hAnsi="宋体" w:eastAsia="楷体_GB2312"/>
                <w:szCs w:val="21"/>
              </w:rPr>
              <w:t>核</w:t>
            </w:r>
          </w:p>
          <w:p>
            <w:pPr>
              <w:jc w:val="center"/>
              <w:rPr>
                <w:rFonts w:hint="eastAsia" w:ascii="楷体_GB2312" w:hAnsi="宋体" w:eastAsia="楷体_GB2312"/>
                <w:szCs w:val="21"/>
              </w:rPr>
            </w:pPr>
            <w:r>
              <w:rPr>
                <w:rFonts w:hint="eastAsia" w:ascii="楷体_GB2312" w:hAnsi="宋体" w:eastAsia="楷体_GB2312"/>
                <w:szCs w:val="21"/>
              </w:rPr>
              <w:t>方</w:t>
            </w:r>
          </w:p>
          <w:p>
            <w:pPr>
              <w:jc w:val="center"/>
              <w:rPr>
                <w:rFonts w:hint="eastAsia" w:ascii="楷体_GB2312" w:hAnsi="宋体" w:eastAsia="楷体_GB2312"/>
                <w:szCs w:val="21"/>
              </w:rPr>
            </w:pPr>
            <w:r>
              <w:rPr>
                <w:rFonts w:hint="eastAsia" w:ascii="楷体_GB2312" w:hAnsi="宋体" w:eastAsia="楷体_GB2312"/>
                <w:szCs w:val="21"/>
              </w:rPr>
              <w:t>式</w:t>
            </w:r>
          </w:p>
        </w:tc>
        <w:tc>
          <w:tcPr>
            <w:tcW w:w="48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分</w:t>
            </w:r>
          </w:p>
        </w:tc>
        <w:tc>
          <w:tcPr>
            <w:tcW w:w="1424"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3799" w:type="dxa"/>
            <w:gridSpan w:val="8"/>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w:t>
            </w:r>
          </w:p>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时</w:t>
            </w: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49"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第一学年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第二学年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第三学年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continue"/>
            <w:vAlign w:val="center"/>
          </w:tcPr>
          <w:p>
            <w:pP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w:t>
            </w:r>
          </w:p>
          <w:p>
            <w:pPr>
              <w:jc w:val="center"/>
              <w:rPr>
                <w:rFonts w:hint="eastAsia" w:ascii="楷体_GB2312" w:hAnsi="宋体" w:eastAsia="楷体_GB2312"/>
                <w:szCs w:val="21"/>
              </w:rPr>
            </w:pPr>
            <w:r>
              <w:rPr>
                <w:rFonts w:hint="eastAsia" w:ascii="楷体_GB2312" w:hAnsi="宋体" w:eastAsia="楷体_GB2312"/>
                <w:szCs w:val="21"/>
              </w:rPr>
              <w:t>(实践)</w:t>
            </w: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1</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2</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3</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4</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5</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6</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7</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rPr>
                <w:rFonts w:hint="eastAsia" w:ascii="楷体_GB2312" w:hAnsi="宋体" w:eastAsia="楷体_GB2312"/>
                <w:spacing w:val="-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3960" w:type="dxa"/>
            <w:gridSpan w:val="3"/>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eastAsia="楷体_GB2312"/>
                <w:szCs w:val="21"/>
              </w:rPr>
              <w:t>小  计</w:t>
            </w: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r>
    </w:tbl>
    <w:p>
      <w:pPr>
        <w:rPr>
          <w:rFonts w:hint="eastAsia" w:ascii="黑体" w:hAnsi="宋体" w:eastAsia="黑体"/>
          <w:szCs w:val="21"/>
        </w:rPr>
      </w:pPr>
    </w:p>
    <w:p>
      <w:pPr>
        <w:rPr>
          <w:rFonts w:hint="eastAsia" w:ascii="黑体" w:hAnsi="宋体" w:eastAsia="黑体"/>
          <w:szCs w:val="21"/>
        </w:rPr>
      </w:pPr>
      <w:r>
        <w:rPr>
          <w:rFonts w:hint="eastAsia" w:ascii="黑体" w:hAnsi="宋体" w:eastAsia="黑体"/>
          <w:szCs w:val="21"/>
        </w:rPr>
        <w:t>3．创新创业模块</w:t>
      </w:r>
    </w:p>
    <w:p>
      <w:pPr>
        <w:rPr>
          <w:rFonts w:hint="eastAsia" w:ascii="黑体" w:hAnsi="宋体" w:eastAsia="黑体"/>
          <w:szCs w:val="21"/>
        </w:rPr>
      </w:pP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5"/>
        <w:gridCol w:w="2644"/>
        <w:gridCol w:w="401"/>
        <w:gridCol w:w="485"/>
        <w:gridCol w:w="476"/>
        <w:gridCol w:w="948"/>
        <w:gridCol w:w="474"/>
        <w:gridCol w:w="475"/>
        <w:gridCol w:w="475"/>
        <w:gridCol w:w="475"/>
        <w:gridCol w:w="475"/>
        <w:gridCol w:w="475"/>
        <w:gridCol w:w="475"/>
        <w:gridCol w:w="4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开 课</w:t>
            </w:r>
          </w:p>
          <w:p>
            <w:pPr>
              <w:jc w:val="center"/>
              <w:rPr>
                <w:rFonts w:hint="eastAsia" w:ascii="楷体_GB2312" w:hAnsi="宋体" w:eastAsia="楷体_GB2312"/>
                <w:szCs w:val="21"/>
              </w:rPr>
            </w:pPr>
            <w:r>
              <w:rPr>
                <w:rFonts w:hint="eastAsia" w:ascii="楷体_GB2312" w:hAnsi="宋体" w:eastAsia="楷体_GB2312"/>
                <w:szCs w:val="21"/>
              </w:rPr>
              <w:t>单 位</w:t>
            </w:r>
          </w:p>
        </w:tc>
        <w:tc>
          <w:tcPr>
            <w:tcW w:w="264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名 称</w:t>
            </w:r>
          </w:p>
        </w:tc>
        <w:tc>
          <w:tcPr>
            <w:tcW w:w="401"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考</w:t>
            </w:r>
          </w:p>
          <w:p>
            <w:pPr>
              <w:jc w:val="center"/>
              <w:rPr>
                <w:rFonts w:hint="eastAsia" w:ascii="楷体_GB2312" w:hAnsi="宋体" w:eastAsia="楷体_GB2312"/>
                <w:szCs w:val="21"/>
              </w:rPr>
            </w:pPr>
            <w:r>
              <w:rPr>
                <w:rFonts w:hint="eastAsia" w:ascii="楷体_GB2312" w:hAnsi="宋体" w:eastAsia="楷体_GB2312"/>
                <w:szCs w:val="21"/>
              </w:rPr>
              <w:t>核</w:t>
            </w:r>
          </w:p>
          <w:p>
            <w:pPr>
              <w:jc w:val="center"/>
              <w:rPr>
                <w:rFonts w:hint="eastAsia" w:ascii="楷体_GB2312" w:hAnsi="宋体" w:eastAsia="楷体_GB2312"/>
                <w:szCs w:val="21"/>
              </w:rPr>
            </w:pPr>
            <w:r>
              <w:rPr>
                <w:rFonts w:hint="eastAsia" w:ascii="楷体_GB2312" w:hAnsi="宋体" w:eastAsia="楷体_GB2312"/>
                <w:szCs w:val="21"/>
              </w:rPr>
              <w:t>方</w:t>
            </w:r>
          </w:p>
          <w:p>
            <w:pPr>
              <w:jc w:val="center"/>
              <w:rPr>
                <w:rFonts w:hint="eastAsia" w:ascii="楷体_GB2312" w:hAnsi="宋体" w:eastAsia="楷体_GB2312"/>
                <w:szCs w:val="21"/>
              </w:rPr>
            </w:pPr>
            <w:r>
              <w:rPr>
                <w:rFonts w:hint="eastAsia" w:ascii="楷体_GB2312" w:hAnsi="宋体" w:eastAsia="楷体_GB2312"/>
                <w:szCs w:val="21"/>
              </w:rPr>
              <w:t>式</w:t>
            </w:r>
          </w:p>
        </w:tc>
        <w:tc>
          <w:tcPr>
            <w:tcW w:w="48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分</w:t>
            </w:r>
          </w:p>
        </w:tc>
        <w:tc>
          <w:tcPr>
            <w:tcW w:w="1424"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3799" w:type="dxa"/>
            <w:gridSpan w:val="8"/>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w:t>
            </w:r>
          </w:p>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时</w:t>
            </w: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49"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第一学年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第二学年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第三学年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continue"/>
            <w:vAlign w:val="center"/>
          </w:tcPr>
          <w:p>
            <w:pP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w:t>
            </w:r>
          </w:p>
          <w:p>
            <w:pPr>
              <w:jc w:val="center"/>
              <w:rPr>
                <w:rFonts w:hint="eastAsia" w:ascii="楷体_GB2312" w:hAnsi="宋体" w:eastAsia="楷体_GB2312"/>
                <w:szCs w:val="21"/>
              </w:rPr>
            </w:pPr>
            <w:r>
              <w:rPr>
                <w:rFonts w:hint="eastAsia" w:ascii="楷体_GB2312" w:hAnsi="宋体" w:eastAsia="楷体_GB2312"/>
                <w:szCs w:val="21"/>
              </w:rPr>
              <w:t>(实践)</w:t>
            </w: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1</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2</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3</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4</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5</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6</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7</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rPr>
                <w:rFonts w:hint="eastAsia" w:ascii="楷体_GB2312" w:hAnsi="宋体" w:eastAsia="楷体_GB2312"/>
                <w:spacing w:val="-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3960" w:type="dxa"/>
            <w:gridSpan w:val="3"/>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eastAsia="楷体_GB2312"/>
                <w:szCs w:val="21"/>
              </w:rPr>
              <w:t>小  计</w:t>
            </w: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r>
    </w:tbl>
    <w:p>
      <w:pPr>
        <w:rPr>
          <w:rFonts w:hint="eastAsia"/>
        </w:rPr>
      </w:pPr>
    </w:p>
    <w:p>
      <w:pPr>
        <w:rPr>
          <w:rFonts w:hint="eastAsia" w:ascii="黑体" w:hAnsi="宋体" w:eastAsia="黑体"/>
          <w:szCs w:val="21"/>
        </w:rPr>
      </w:pPr>
      <w:r>
        <w:rPr>
          <w:rFonts w:hint="eastAsia" w:ascii="黑体" w:hAnsi="宋体" w:eastAsia="黑体"/>
          <w:szCs w:val="21"/>
        </w:rPr>
        <w:t>4．</w:t>
      </w:r>
      <w:r>
        <w:rPr>
          <w:rFonts w:hint="eastAsia" w:ascii="黑体" w:hAnsi="宋体" w:eastAsia="黑体"/>
          <w:szCs w:val="21"/>
          <w:lang w:eastAsia="zh-CN"/>
        </w:rPr>
        <w:t>素质通识</w:t>
      </w:r>
      <w:r>
        <w:rPr>
          <w:rFonts w:hint="eastAsia" w:ascii="黑体" w:hAnsi="宋体" w:eastAsia="黑体"/>
          <w:szCs w:val="21"/>
        </w:rPr>
        <w:t>模块（应修8学分）</w:t>
      </w:r>
    </w:p>
    <w:p>
      <w:pPr>
        <w:rPr>
          <w:rFonts w:hint="eastAsia" w:ascii="黑体" w:hAnsi="宋体" w:eastAsia="黑体"/>
          <w:szCs w:val="21"/>
        </w:rPr>
      </w:pPr>
    </w:p>
    <w:tbl>
      <w:tblPr>
        <w:tblStyle w:val="11"/>
        <w:tblW w:w="96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62"/>
        <w:gridCol w:w="2114"/>
        <w:gridCol w:w="2026"/>
        <w:gridCol w:w="19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7" w:hRule="atLeast"/>
          <w:tblHeader/>
          <w:jc w:val="center"/>
        </w:trPr>
        <w:tc>
          <w:tcPr>
            <w:tcW w:w="3562" w:type="dxa"/>
            <w:vAlign w:val="center"/>
          </w:tcPr>
          <w:p>
            <w:pPr>
              <w:spacing w:line="300" w:lineRule="auto"/>
              <w:jc w:val="center"/>
              <w:rPr>
                <w:rFonts w:hint="eastAsia" w:ascii="楷体_GB2312" w:hAnsi="宋体" w:eastAsia="楷体_GB2312"/>
                <w:b/>
                <w:spacing w:val="20"/>
                <w:szCs w:val="21"/>
              </w:rPr>
            </w:pPr>
            <w:r>
              <w:rPr>
                <w:rFonts w:hint="eastAsia" w:ascii="楷体_GB2312" w:eastAsia="楷体_GB2312"/>
                <w:szCs w:val="21"/>
              </w:rPr>
              <w:t>课 程 名 称</w:t>
            </w:r>
          </w:p>
        </w:tc>
        <w:tc>
          <w:tcPr>
            <w:tcW w:w="2114" w:type="dxa"/>
            <w:vAlign w:val="center"/>
          </w:tcPr>
          <w:p>
            <w:pPr>
              <w:spacing w:line="300" w:lineRule="auto"/>
              <w:jc w:val="center"/>
              <w:rPr>
                <w:rFonts w:hint="eastAsia" w:ascii="楷体_GB2312" w:hAnsi="宋体" w:eastAsia="楷体_GB2312"/>
                <w:b/>
                <w:spacing w:val="20"/>
                <w:szCs w:val="21"/>
              </w:rPr>
            </w:pPr>
            <w:r>
              <w:rPr>
                <w:rFonts w:hint="eastAsia" w:ascii="楷体_GB2312" w:eastAsia="楷体_GB2312"/>
                <w:szCs w:val="21"/>
              </w:rPr>
              <w:t>学 时</w:t>
            </w:r>
          </w:p>
        </w:tc>
        <w:tc>
          <w:tcPr>
            <w:tcW w:w="2026" w:type="dxa"/>
            <w:vAlign w:val="center"/>
          </w:tcPr>
          <w:p>
            <w:pPr>
              <w:spacing w:line="300" w:lineRule="auto"/>
              <w:jc w:val="center"/>
              <w:rPr>
                <w:rFonts w:hint="eastAsia" w:ascii="楷体_GB2312" w:hAnsi="宋体" w:eastAsia="楷体_GB2312"/>
                <w:b/>
                <w:spacing w:val="20"/>
                <w:szCs w:val="21"/>
              </w:rPr>
            </w:pPr>
            <w:r>
              <w:rPr>
                <w:rFonts w:hint="eastAsia" w:ascii="楷体_GB2312" w:eastAsia="楷体_GB2312"/>
                <w:szCs w:val="21"/>
              </w:rPr>
              <w:t>学 分</w:t>
            </w:r>
          </w:p>
        </w:tc>
        <w:tc>
          <w:tcPr>
            <w:tcW w:w="1950" w:type="dxa"/>
            <w:vAlign w:val="center"/>
          </w:tcPr>
          <w:p>
            <w:pPr>
              <w:spacing w:line="300" w:lineRule="auto"/>
              <w:jc w:val="center"/>
              <w:rPr>
                <w:rFonts w:hint="eastAsia" w:ascii="楷体_GB2312" w:hAnsi="宋体" w:eastAsia="楷体_GB2312"/>
                <w:b/>
                <w:spacing w:val="20"/>
                <w:szCs w:val="21"/>
              </w:rPr>
            </w:pPr>
            <w:r>
              <w:rPr>
                <w:rFonts w:hint="eastAsia" w:ascii="楷体_GB2312" w:eastAsia="楷体_GB2312"/>
                <w:szCs w:val="21"/>
              </w:rPr>
              <w:t xml:space="preserve">学 期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3562" w:type="dxa"/>
            <w:vAlign w:val="center"/>
          </w:tcPr>
          <w:p>
            <w:pPr>
              <w:jc w:val="center"/>
              <w:rPr>
                <w:rFonts w:hint="eastAsia" w:ascii="楷体_GB2312" w:eastAsia="楷体_GB2312"/>
                <w:szCs w:val="21"/>
              </w:rPr>
            </w:pPr>
            <w:r>
              <w:rPr>
                <w:rFonts w:hint="eastAsia" w:ascii="楷体_GB2312" w:eastAsia="楷体_GB2312"/>
                <w:szCs w:val="21"/>
              </w:rPr>
              <w:t>国学教育（必选）</w:t>
            </w:r>
          </w:p>
        </w:tc>
        <w:tc>
          <w:tcPr>
            <w:tcW w:w="2114" w:type="dxa"/>
            <w:vAlign w:val="center"/>
          </w:tcPr>
          <w:p>
            <w:pPr>
              <w:spacing w:line="300" w:lineRule="auto"/>
              <w:jc w:val="center"/>
              <w:rPr>
                <w:rFonts w:hint="eastAsia" w:ascii="楷体_GB2312" w:eastAsia="楷体_GB2312"/>
                <w:szCs w:val="21"/>
                <w:lang w:eastAsia="zh-CN"/>
              </w:rPr>
            </w:pPr>
            <w:r>
              <w:rPr>
                <w:rFonts w:hint="eastAsia" w:ascii="楷体_GB2312" w:eastAsia="楷体_GB2312"/>
                <w:szCs w:val="21"/>
                <w:lang w:val="en-US" w:eastAsia="zh-CN"/>
              </w:rPr>
              <w:t>16</w:t>
            </w:r>
          </w:p>
        </w:tc>
        <w:tc>
          <w:tcPr>
            <w:tcW w:w="2026" w:type="dxa"/>
            <w:vAlign w:val="center"/>
          </w:tcPr>
          <w:p>
            <w:pPr>
              <w:spacing w:line="300" w:lineRule="auto"/>
              <w:jc w:val="center"/>
              <w:rPr>
                <w:rFonts w:hint="eastAsia" w:ascii="楷体_GB2312" w:eastAsia="楷体_GB2312"/>
                <w:szCs w:val="21"/>
              </w:rPr>
            </w:pPr>
            <w:r>
              <w:rPr>
                <w:rFonts w:hint="eastAsia" w:ascii="楷体_GB2312" w:eastAsia="楷体_GB2312"/>
                <w:szCs w:val="21"/>
              </w:rPr>
              <w:t>1</w:t>
            </w:r>
          </w:p>
        </w:tc>
        <w:tc>
          <w:tcPr>
            <w:tcW w:w="1950" w:type="dxa"/>
            <w:vAlign w:val="center"/>
          </w:tcPr>
          <w:p>
            <w:pPr>
              <w:spacing w:line="300" w:lineRule="auto"/>
              <w:jc w:val="center"/>
              <w:rPr>
                <w:rFonts w:hint="eastAsia" w:ascii="楷体_GB2312" w:eastAsia="楷体_GB2312"/>
                <w:szCs w:val="21"/>
              </w:rPr>
            </w:pPr>
            <w:r>
              <w:rPr>
                <w:rFonts w:hint="eastAsia" w:ascii="楷体_GB2312" w:eastAsia="楷体_GB2312"/>
                <w:szCs w:val="21"/>
                <w:lang w:val="en-US" w:eastAsia="zh-CN"/>
              </w:rPr>
              <w:t>1</w:t>
            </w:r>
            <w:r>
              <w:rPr>
                <w:rFonts w:hint="eastAsia" w:ascii="楷体_GB2312" w:eastAsia="楷体_GB2312"/>
                <w:szCs w:val="21"/>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3562" w:type="dxa"/>
            <w:vAlign w:val="center"/>
          </w:tcPr>
          <w:p>
            <w:pPr>
              <w:jc w:val="center"/>
              <w:rPr>
                <w:rFonts w:hint="eastAsia" w:ascii="楷体_GB2312" w:eastAsia="楷体_GB2312"/>
                <w:szCs w:val="21"/>
                <w:lang w:eastAsia="zh-CN"/>
              </w:rPr>
            </w:pPr>
            <w:r>
              <w:rPr>
                <w:rFonts w:hint="eastAsia" w:ascii="楷体_GB2312" w:eastAsia="楷体_GB2312"/>
                <w:szCs w:val="21"/>
                <w:lang w:eastAsia="zh-CN"/>
              </w:rPr>
              <w:t>船政文化（必选）</w:t>
            </w:r>
          </w:p>
        </w:tc>
        <w:tc>
          <w:tcPr>
            <w:tcW w:w="2114" w:type="dxa"/>
            <w:vAlign w:val="center"/>
          </w:tcPr>
          <w:p>
            <w:pPr>
              <w:spacing w:line="300" w:lineRule="auto"/>
              <w:jc w:val="center"/>
              <w:rPr>
                <w:rFonts w:hint="eastAsia" w:ascii="楷体_GB2312" w:eastAsia="楷体_GB2312"/>
                <w:szCs w:val="21"/>
                <w:lang w:val="en-US" w:eastAsia="zh-CN"/>
              </w:rPr>
            </w:pPr>
            <w:r>
              <w:rPr>
                <w:rFonts w:hint="eastAsia" w:ascii="楷体_GB2312" w:eastAsia="楷体_GB2312"/>
                <w:szCs w:val="21"/>
                <w:lang w:val="en-US" w:eastAsia="zh-CN"/>
              </w:rPr>
              <w:t>8</w:t>
            </w:r>
          </w:p>
        </w:tc>
        <w:tc>
          <w:tcPr>
            <w:tcW w:w="2026" w:type="dxa"/>
            <w:vAlign w:val="center"/>
          </w:tcPr>
          <w:p>
            <w:pPr>
              <w:spacing w:line="300" w:lineRule="auto"/>
              <w:jc w:val="center"/>
              <w:rPr>
                <w:rFonts w:hint="eastAsia" w:ascii="楷体_GB2312" w:eastAsia="楷体_GB2312"/>
                <w:szCs w:val="21"/>
                <w:lang w:val="en-US" w:eastAsia="zh-CN"/>
              </w:rPr>
            </w:pPr>
            <w:r>
              <w:rPr>
                <w:rFonts w:hint="eastAsia" w:ascii="楷体_GB2312" w:eastAsia="楷体_GB2312"/>
                <w:szCs w:val="21"/>
                <w:lang w:val="en-US" w:eastAsia="zh-CN"/>
              </w:rPr>
              <w:t>0.5</w:t>
            </w:r>
          </w:p>
        </w:tc>
        <w:tc>
          <w:tcPr>
            <w:tcW w:w="1950" w:type="dxa"/>
            <w:vAlign w:val="center"/>
          </w:tcPr>
          <w:p>
            <w:pPr>
              <w:spacing w:line="300" w:lineRule="auto"/>
              <w:jc w:val="center"/>
              <w:rPr>
                <w:rFonts w:hint="eastAsia" w:ascii="楷体_GB2312" w:eastAsia="楷体_GB2312"/>
                <w:szCs w:val="21"/>
                <w:lang w:val="en-US" w:eastAsia="zh-CN"/>
              </w:rPr>
            </w:pPr>
            <w:r>
              <w:rPr>
                <w:rFonts w:hint="eastAsia" w:ascii="楷体_GB2312" w:eastAsia="楷体_GB2312"/>
                <w:szCs w:val="21"/>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3562" w:type="dxa"/>
            <w:vAlign w:val="center"/>
          </w:tcPr>
          <w:p>
            <w:pPr>
              <w:jc w:val="center"/>
              <w:rPr>
                <w:rFonts w:hint="eastAsia" w:ascii="楷体_GB2312" w:hAnsi="宋体" w:eastAsia="楷体_GB2312"/>
                <w:szCs w:val="21"/>
              </w:rPr>
            </w:pPr>
            <w:r>
              <w:rPr>
                <w:rFonts w:hint="eastAsia" w:ascii="楷体_GB2312" w:eastAsia="楷体_GB2312"/>
                <w:szCs w:val="21"/>
              </w:rPr>
              <w:t>人格培养（实践）（必选）</w:t>
            </w:r>
          </w:p>
        </w:tc>
        <w:tc>
          <w:tcPr>
            <w:tcW w:w="2114" w:type="dxa"/>
            <w:vAlign w:val="center"/>
          </w:tcPr>
          <w:p>
            <w:pPr>
              <w:spacing w:line="300" w:lineRule="auto"/>
              <w:jc w:val="center"/>
              <w:rPr>
                <w:rFonts w:hint="eastAsia" w:ascii="楷体_GB2312" w:eastAsia="楷体_GB2312"/>
                <w:szCs w:val="21"/>
              </w:rPr>
            </w:pPr>
            <w:r>
              <w:rPr>
                <w:rFonts w:hint="eastAsia" w:ascii="楷体_GB2312" w:eastAsia="楷体_GB2312"/>
                <w:szCs w:val="21"/>
              </w:rPr>
              <w:t>8</w:t>
            </w:r>
          </w:p>
        </w:tc>
        <w:tc>
          <w:tcPr>
            <w:tcW w:w="2026" w:type="dxa"/>
            <w:vAlign w:val="center"/>
          </w:tcPr>
          <w:p>
            <w:pPr>
              <w:spacing w:line="300" w:lineRule="auto"/>
              <w:jc w:val="center"/>
              <w:rPr>
                <w:rFonts w:hint="eastAsia" w:ascii="楷体_GB2312" w:eastAsia="楷体_GB2312"/>
                <w:szCs w:val="21"/>
              </w:rPr>
            </w:pPr>
            <w:r>
              <w:rPr>
                <w:rFonts w:hint="eastAsia" w:ascii="楷体_GB2312" w:eastAsia="楷体_GB2312"/>
                <w:szCs w:val="21"/>
              </w:rPr>
              <w:t>0.5</w:t>
            </w:r>
          </w:p>
        </w:tc>
        <w:tc>
          <w:tcPr>
            <w:tcW w:w="1950" w:type="dxa"/>
            <w:vAlign w:val="center"/>
          </w:tcPr>
          <w:p>
            <w:pPr>
              <w:spacing w:line="300" w:lineRule="auto"/>
              <w:jc w:val="center"/>
              <w:rPr>
                <w:rFonts w:hint="eastAsia" w:ascii="楷体_GB2312" w:eastAsia="楷体_GB2312"/>
                <w:szCs w:val="21"/>
              </w:rPr>
            </w:pPr>
            <w:r>
              <w:rPr>
                <w:rFonts w:hint="eastAsia" w:ascii="楷体_GB2312" w:eastAsia="楷体_GB2312"/>
                <w:szCs w:val="21"/>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77" w:hRule="atLeast"/>
          <w:jc w:val="center"/>
        </w:trPr>
        <w:tc>
          <w:tcPr>
            <w:tcW w:w="3562" w:type="dxa"/>
            <w:vAlign w:val="center"/>
          </w:tcPr>
          <w:p>
            <w:pPr>
              <w:jc w:val="center"/>
              <w:rPr>
                <w:rFonts w:hint="eastAsia" w:ascii="楷体_GB2312" w:eastAsia="楷体_GB2312"/>
                <w:szCs w:val="21"/>
              </w:rPr>
            </w:pPr>
            <w:r>
              <w:rPr>
                <w:rFonts w:hint="eastAsia" w:ascii="楷体_GB2312" w:eastAsia="楷体_GB2312"/>
                <w:szCs w:val="21"/>
              </w:rPr>
              <w:t>大学生心理健康教育（必选）</w:t>
            </w:r>
          </w:p>
        </w:tc>
        <w:tc>
          <w:tcPr>
            <w:tcW w:w="2114" w:type="dxa"/>
            <w:vAlign w:val="center"/>
          </w:tcPr>
          <w:p>
            <w:pPr>
              <w:spacing w:line="300" w:lineRule="auto"/>
              <w:jc w:val="center"/>
              <w:rPr>
                <w:rFonts w:hint="eastAsia" w:ascii="楷体_GB2312" w:eastAsia="楷体_GB2312"/>
                <w:szCs w:val="21"/>
              </w:rPr>
            </w:pPr>
            <w:r>
              <w:rPr>
                <w:rFonts w:hint="eastAsia" w:ascii="楷体_GB2312" w:eastAsia="楷体_GB2312"/>
                <w:szCs w:val="21"/>
              </w:rPr>
              <w:t>32</w:t>
            </w:r>
          </w:p>
        </w:tc>
        <w:tc>
          <w:tcPr>
            <w:tcW w:w="2026" w:type="dxa"/>
            <w:vAlign w:val="center"/>
          </w:tcPr>
          <w:p>
            <w:pPr>
              <w:spacing w:line="300" w:lineRule="auto"/>
              <w:jc w:val="center"/>
              <w:rPr>
                <w:rFonts w:hint="eastAsia" w:ascii="楷体_GB2312" w:eastAsia="楷体_GB2312"/>
                <w:szCs w:val="21"/>
              </w:rPr>
            </w:pPr>
            <w:r>
              <w:rPr>
                <w:rFonts w:hint="eastAsia" w:ascii="楷体_GB2312" w:eastAsia="楷体_GB2312"/>
                <w:szCs w:val="21"/>
              </w:rPr>
              <w:t>不计学分</w:t>
            </w:r>
          </w:p>
        </w:tc>
        <w:tc>
          <w:tcPr>
            <w:tcW w:w="1950" w:type="dxa"/>
            <w:vAlign w:val="center"/>
          </w:tcPr>
          <w:p>
            <w:pPr>
              <w:spacing w:line="300" w:lineRule="auto"/>
              <w:jc w:val="center"/>
              <w:rPr>
                <w:rFonts w:hint="eastAsia" w:ascii="楷体_GB2312" w:eastAsia="楷体_GB2312"/>
                <w:szCs w:val="21"/>
              </w:rPr>
            </w:pPr>
            <w:r>
              <w:rPr>
                <w:rFonts w:hint="eastAsia" w:ascii="楷体_GB2312" w:eastAsia="楷体_GB2312"/>
                <w:szCs w:val="21"/>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9" w:hRule="atLeast"/>
          <w:jc w:val="center"/>
        </w:trPr>
        <w:tc>
          <w:tcPr>
            <w:tcW w:w="9652" w:type="dxa"/>
            <w:gridSpan w:val="4"/>
            <w:vAlign w:val="center"/>
          </w:tcPr>
          <w:p>
            <w:pPr>
              <w:spacing w:line="300" w:lineRule="auto"/>
              <w:rPr>
                <w:rFonts w:hint="eastAsia" w:ascii="楷体_GB2312" w:eastAsia="楷体_GB2312"/>
                <w:szCs w:val="21"/>
              </w:rPr>
            </w:pPr>
            <w:r>
              <w:rPr>
                <w:rFonts w:hint="eastAsia" w:ascii="楷体_GB2312" w:eastAsia="楷体_GB2312"/>
                <w:szCs w:val="21"/>
              </w:rPr>
              <w:t>其他：学分不少于6学分，在素质通识课程中选修。</w:t>
            </w:r>
          </w:p>
        </w:tc>
      </w:tr>
    </w:tbl>
    <w:p>
      <w:pPr>
        <w:rPr>
          <w:rFonts w:hint="eastAsia"/>
        </w:rPr>
      </w:pPr>
    </w:p>
    <w:p>
      <w:pPr>
        <w:rPr>
          <w:rFonts w:hint="eastAsia" w:ascii="黑体" w:hAnsi="宋体" w:eastAsia="黑体"/>
          <w:szCs w:val="21"/>
        </w:rPr>
      </w:pPr>
      <w:r>
        <w:rPr>
          <w:rFonts w:hint="eastAsia" w:ascii="黑体" w:hAnsi="宋体" w:eastAsia="黑体"/>
          <w:szCs w:val="21"/>
        </w:rPr>
        <w:t>（二）专业知识平台（应修***学分）</w:t>
      </w:r>
    </w:p>
    <w:p>
      <w:pPr>
        <w:rPr>
          <w:rFonts w:hint="eastAsia" w:ascii="黑体" w:hAnsi="宋体" w:eastAsia="黑体"/>
          <w:szCs w:val="21"/>
        </w:rPr>
      </w:pPr>
      <w:r>
        <w:rPr>
          <w:rFonts w:hint="eastAsia" w:ascii="黑体" w:hAnsi="宋体" w:eastAsia="黑体"/>
          <w:szCs w:val="21"/>
        </w:rPr>
        <w:t>1．跨专业知识模块</w:t>
      </w:r>
    </w:p>
    <w:p>
      <w:pPr>
        <w:rPr>
          <w:rFonts w:hint="eastAsia" w:ascii="黑体" w:hAnsi="宋体" w:eastAsia="黑体"/>
          <w:szCs w:val="21"/>
        </w:rPr>
      </w:pP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5"/>
        <w:gridCol w:w="2644"/>
        <w:gridCol w:w="401"/>
        <w:gridCol w:w="485"/>
        <w:gridCol w:w="476"/>
        <w:gridCol w:w="948"/>
        <w:gridCol w:w="474"/>
        <w:gridCol w:w="475"/>
        <w:gridCol w:w="475"/>
        <w:gridCol w:w="475"/>
        <w:gridCol w:w="475"/>
        <w:gridCol w:w="475"/>
        <w:gridCol w:w="475"/>
        <w:gridCol w:w="4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开 课</w:t>
            </w:r>
          </w:p>
          <w:p>
            <w:pPr>
              <w:jc w:val="center"/>
              <w:rPr>
                <w:rFonts w:hint="eastAsia" w:ascii="楷体_GB2312" w:hAnsi="宋体" w:eastAsia="楷体_GB2312"/>
                <w:szCs w:val="21"/>
              </w:rPr>
            </w:pPr>
            <w:r>
              <w:rPr>
                <w:rFonts w:hint="eastAsia" w:ascii="楷体_GB2312" w:hAnsi="宋体" w:eastAsia="楷体_GB2312"/>
                <w:szCs w:val="21"/>
              </w:rPr>
              <w:t>单 位</w:t>
            </w:r>
          </w:p>
        </w:tc>
        <w:tc>
          <w:tcPr>
            <w:tcW w:w="264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名 称</w:t>
            </w:r>
          </w:p>
        </w:tc>
        <w:tc>
          <w:tcPr>
            <w:tcW w:w="401"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考</w:t>
            </w:r>
          </w:p>
          <w:p>
            <w:pPr>
              <w:jc w:val="center"/>
              <w:rPr>
                <w:rFonts w:hint="eastAsia" w:ascii="楷体_GB2312" w:hAnsi="宋体" w:eastAsia="楷体_GB2312"/>
                <w:szCs w:val="21"/>
              </w:rPr>
            </w:pPr>
            <w:r>
              <w:rPr>
                <w:rFonts w:hint="eastAsia" w:ascii="楷体_GB2312" w:hAnsi="宋体" w:eastAsia="楷体_GB2312"/>
                <w:szCs w:val="21"/>
              </w:rPr>
              <w:t>核</w:t>
            </w:r>
          </w:p>
          <w:p>
            <w:pPr>
              <w:jc w:val="center"/>
              <w:rPr>
                <w:rFonts w:hint="eastAsia" w:ascii="楷体_GB2312" w:hAnsi="宋体" w:eastAsia="楷体_GB2312"/>
                <w:szCs w:val="21"/>
              </w:rPr>
            </w:pPr>
            <w:r>
              <w:rPr>
                <w:rFonts w:hint="eastAsia" w:ascii="楷体_GB2312" w:hAnsi="宋体" w:eastAsia="楷体_GB2312"/>
                <w:szCs w:val="21"/>
              </w:rPr>
              <w:t>方</w:t>
            </w:r>
          </w:p>
          <w:p>
            <w:pPr>
              <w:jc w:val="center"/>
              <w:rPr>
                <w:rFonts w:hint="eastAsia" w:ascii="楷体_GB2312" w:hAnsi="宋体" w:eastAsia="楷体_GB2312"/>
                <w:szCs w:val="21"/>
              </w:rPr>
            </w:pPr>
            <w:r>
              <w:rPr>
                <w:rFonts w:hint="eastAsia" w:ascii="楷体_GB2312" w:hAnsi="宋体" w:eastAsia="楷体_GB2312"/>
                <w:szCs w:val="21"/>
              </w:rPr>
              <w:t>式</w:t>
            </w:r>
          </w:p>
        </w:tc>
        <w:tc>
          <w:tcPr>
            <w:tcW w:w="48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分</w:t>
            </w:r>
          </w:p>
        </w:tc>
        <w:tc>
          <w:tcPr>
            <w:tcW w:w="1424"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3799" w:type="dxa"/>
            <w:gridSpan w:val="8"/>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w:t>
            </w:r>
          </w:p>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时</w:t>
            </w: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49"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第一学年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第二学年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第三学年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continue"/>
            <w:vAlign w:val="center"/>
          </w:tcPr>
          <w:p>
            <w:pP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w:t>
            </w:r>
          </w:p>
          <w:p>
            <w:pPr>
              <w:jc w:val="center"/>
              <w:rPr>
                <w:rFonts w:hint="eastAsia" w:ascii="楷体_GB2312" w:hAnsi="宋体" w:eastAsia="楷体_GB2312"/>
                <w:szCs w:val="21"/>
              </w:rPr>
            </w:pPr>
            <w:r>
              <w:rPr>
                <w:rFonts w:hint="eastAsia" w:ascii="楷体_GB2312" w:hAnsi="宋体" w:eastAsia="楷体_GB2312"/>
                <w:szCs w:val="21"/>
              </w:rPr>
              <w:t>(实践)</w:t>
            </w: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1</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2</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3</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4</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5</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6</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7</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rPr>
                <w:rFonts w:hint="eastAsia" w:ascii="楷体_GB2312" w:hAnsi="宋体" w:eastAsia="楷体_GB2312"/>
                <w:spacing w:val="-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3960" w:type="dxa"/>
            <w:gridSpan w:val="3"/>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eastAsia="楷体_GB2312"/>
                <w:szCs w:val="21"/>
              </w:rPr>
              <w:t>小  计</w:t>
            </w: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r>
    </w:tbl>
    <w:p>
      <w:pPr>
        <w:rPr>
          <w:rFonts w:hint="eastAsia" w:ascii="黑体" w:hAnsi="宋体" w:eastAsia="黑体"/>
          <w:szCs w:val="21"/>
        </w:rPr>
      </w:pPr>
      <w:r>
        <w:rPr>
          <w:rFonts w:hint="eastAsia" w:ascii="黑体" w:hAnsi="宋体" w:eastAsia="黑体"/>
          <w:szCs w:val="21"/>
        </w:rPr>
        <w:t>2．专业基础模块</w:t>
      </w:r>
    </w:p>
    <w:p>
      <w:pPr>
        <w:rPr>
          <w:rFonts w:hint="eastAsia"/>
        </w:rPr>
      </w:pP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5"/>
        <w:gridCol w:w="2644"/>
        <w:gridCol w:w="401"/>
        <w:gridCol w:w="485"/>
        <w:gridCol w:w="476"/>
        <w:gridCol w:w="948"/>
        <w:gridCol w:w="474"/>
        <w:gridCol w:w="475"/>
        <w:gridCol w:w="475"/>
        <w:gridCol w:w="475"/>
        <w:gridCol w:w="475"/>
        <w:gridCol w:w="475"/>
        <w:gridCol w:w="475"/>
        <w:gridCol w:w="4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开 课</w:t>
            </w:r>
          </w:p>
          <w:p>
            <w:pPr>
              <w:jc w:val="center"/>
              <w:rPr>
                <w:rFonts w:hint="eastAsia" w:ascii="楷体_GB2312" w:hAnsi="宋体" w:eastAsia="楷体_GB2312"/>
                <w:szCs w:val="21"/>
              </w:rPr>
            </w:pPr>
            <w:r>
              <w:rPr>
                <w:rFonts w:hint="eastAsia" w:ascii="楷体_GB2312" w:hAnsi="宋体" w:eastAsia="楷体_GB2312"/>
                <w:szCs w:val="21"/>
              </w:rPr>
              <w:t>单 位</w:t>
            </w:r>
          </w:p>
        </w:tc>
        <w:tc>
          <w:tcPr>
            <w:tcW w:w="264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名 称</w:t>
            </w:r>
          </w:p>
        </w:tc>
        <w:tc>
          <w:tcPr>
            <w:tcW w:w="401"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考</w:t>
            </w:r>
          </w:p>
          <w:p>
            <w:pPr>
              <w:jc w:val="center"/>
              <w:rPr>
                <w:rFonts w:hint="eastAsia" w:ascii="楷体_GB2312" w:hAnsi="宋体" w:eastAsia="楷体_GB2312"/>
                <w:szCs w:val="21"/>
              </w:rPr>
            </w:pPr>
            <w:r>
              <w:rPr>
                <w:rFonts w:hint="eastAsia" w:ascii="楷体_GB2312" w:hAnsi="宋体" w:eastAsia="楷体_GB2312"/>
                <w:szCs w:val="21"/>
              </w:rPr>
              <w:t>核</w:t>
            </w:r>
          </w:p>
          <w:p>
            <w:pPr>
              <w:jc w:val="center"/>
              <w:rPr>
                <w:rFonts w:hint="eastAsia" w:ascii="楷体_GB2312" w:hAnsi="宋体" w:eastAsia="楷体_GB2312"/>
                <w:szCs w:val="21"/>
              </w:rPr>
            </w:pPr>
            <w:r>
              <w:rPr>
                <w:rFonts w:hint="eastAsia" w:ascii="楷体_GB2312" w:hAnsi="宋体" w:eastAsia="楷体_GB2312"/>
                <w:szCs w:val="21"/>
              </w:rPr>
              <w:t>方</w:t>
            </w:r>
          </w:p>
          <w:p>
            <w:pPr>
              <w:jc w:val="center"/>
              <w:rPr>
                <w:rFonts w:hint="eastAsia" w:ascii="楷体_GB2312" w:hAnsi="宋体" w:eastAsia="楷体_GB2312"/>
                <w:szCs w:val="21"/>
              </w:rPr>
            </w:pPr>
            <w:r>
              <w:rPr>
                <w:rFonts w:hint="eastAsia" w:ascii="楷体_GB2312" w:hAnsi="宋体" w:eastAsia="楷体_GB2312"/>
                <w:szCs w:val="21"/>
              </w:rPr>
              <w:t>式</w:t>
            </w:r>
          </w:p>
        </w:tc>
        <w:tc>
          <w:tcPr>
            <w:tcW w:w="48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分</w:t>
            </w:r>
          </w:p>
        </w:tc>
        <w:tc>
          <w:tcPr>
            <w:tcW w:w="1424"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3799" w:type="dxa"/>
            <w:gridSpan w:val="8"/>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w:t>
            </w:r>
          </w:p>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时</w:t>
            </w: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49"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第一学年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第二学年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第三学年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continue"/>
            <w:vAlign w:val="center"/>
          </w:tcPr>
          <w:p>
            <w:pP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w:t>
            </w:r>
          </w:p>
          <w:p>
            <w:pPr>
              <w:jc w:val="center"/>
              <w:rPr>
                <w:rFonts w:hint="eastAsia" w:ascii="楷体_GB2312" w:hAnsi="宋体" w:eastAsia="楷体_GB2312"/>
                <w:szCs w:val="21"/>
              </w:rPr>
            </w:pPr>
            <w:r>
              <w:rPr>
                <w:rFonts w:hint="eastAsia" w:ascii="楷体_GB2312" w:hAnsi="宋体" w:eastAsia="楷体_GB2312"/>
                <w:szCs w:val="21"/>
              </w:rPr>
              <w:t>(实践)</w:t>
            </w: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1</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2</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3</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4</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5</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6</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7</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rPr>
                <w:rFonts w:hint="eastAsia" w:ascii="楷体_GB2312" w:hAnsi="宋体" w:eastAsia="楷体_GB2312"/>
                <w:spacing w:val="-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3960" w:type="dxa"/>
            <w:gridSpan w:val="3"/>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eastAsia="楷体_GB2312"/>
                <w:szCs w:val="21"/>
              </w:rPr>
              <w:t>小  计</w:t>
            </w: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r>
    </w:tbl>
    <w:p>
      <w:pPr>
        <w:rPr>
          <w:rFonts w:hint="eastAsia"/>
        </w:rPr>
      </w:pPr>
    </w:p>
    <w:p>
      <w:pPr>
        <w:rPr>
          <w:rFonts w:hint="eastAsia" w:ascii="黑体" w:hAnsi="宋体" w:eastAsia="黑体"/>
          <w:szCs w:val="21"/>
        </w:rPr>
      </w:pPr>
      <w:r>
        <w:rPr>
          <w:rFonts w:hint="eastAsia" w:ascii="黑体" w:hAnsi="宋体" w:eastAsia="黑体"/>
          <w:szCs w:val="21"/>
        </w:rPr>
        <w:t>（三）应用能力平台（应修***学分）</w:t>
      </w:r>
    </w:p>
    <w:p>
      <w:pPr>
        <w:rPr>
          <w:rFonts w:hint="eastAsia" w:ascii="黑体" w:hAnsi="宋体" w:eastAsia="黑体"/>
          <w:szCs w:val="21"/>
        </w:rPr>
      </w:pPr>
      <w:r>
        <w:rPr>
          <w:rFonts w:hint="eastAsia" w:ascii="黑体" w:hAnsi="宋体" w:eastAsia="黑体"/>
          <w:szCs w:val="21"/>
        </w:rPr>
        <w:t>1．基本能力模块</w:t>
      </w:r>
    </w:p>
    <w:p>
      <w:pPr>
        <w:rPr>
          <w:rFonts w:hint="eastAsia" w:ascii="黑体" w:hAnsi="宋体" w:eastAsia="黑体"/>
          <w:szCs w:val="21"/>
        </w:rPr>
      </w:pP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5"/>
        <w:gridCol w:w="2644"/>
        <w:gridCol w:w="401"/>
        <w:gridCol w:w="485"/>
        <w:gridCol w:w="476"/>
        <w:gridCol w:w="948"/>
        <w:gridCol w:w="474"/>
        <w:gridCol w:w="475"/>
        <w:gridCol w:w="475"/>
        <w:gridCol w:w="475"/>
        <w:gridCol w:w="475"/>
        <w:gridCol w:w="475"/>
        <w:gridCol w:w="475"/>
        <w:gridCol w:w="4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开 课</w:t>
            </w:r>
          </w:p>
          <w:p>
            <w:pPr>
              <w:jc w:val="center"/>
              <w:rPr>
                <w:rFonts w:hint="eastAsia" w:ascii="楷体_GB2312" w:hAnsi="宋体" w:eastAsia="楷体_GB2312"/>
                <w:szCs w:val="21"/>
              </w:rPr>
            </w:pPr>
            <w:r>
              <w:rPr>
                <w:rFonts w:hint="eastAsia" w:ascii="楷体_GB2312" w:hAnsi="宋体" w:eastAsia="楷体_GB2312"/>
                <w:szCs w:val="21"/>
              </w:rPr>
              <w:t>单 位</w:t>
            </w:r>
          </w:p>
        </w:tc>
        <w:tc>
          <w:tcPr>
            <w:tcW w:w="264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名 称</w:t>
            </w:r>
          </w:p>
        </w:tc>
        <w:tc>
          <w:tcPr>
            <w:tcW w:w="401"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考</w:t>
            </w:r>
          </w:p>
          <w:p>
            <w:pPr>
              <w:jc w:val="center"/>
              <w:rPr>
                <w:rFonts w:hint="eastAsia" w:ascii="楷体_GB2312" w:hAnsi="宋体" w:eastAsia="楷体_GB2312"/>
                <w:szCs w:val="21"/>
              </w:rPr>
            </w:pPr>
            <w:r>
              <w:rPr>
                <w:rFonts w:hint="eastAsia" w:ascii="楷体_GB2312" w:hAnsi="宋体" w:eastAsia="楷体_GB2312"/>
                <w:szCs w:val="21"/>
              </w:rPr>
              <w:t>核</w:t>
            </w:r>
          </w:p>
          <w:p>
            <w:pPr>
              <w:jc w:val="center"/>
              <w:rPr>
                <w:rFonts w:hint="eastAsia" w:ascii="楷体_GB2312" w:hAnsi="宋体" w:eastAsia="楷体_GB2312"/>
                <w:szCs w:val="21"/>
              </w:rPr>
            </w:pPr>
            <w:r>
              <w:rPr>
                <w:rFonts w:hint="eastAsia" w:ascii="楷体_GB2312" w:hAnsi="宋体" w:eastAsia="楷体_GB2312"/>
                <w:szCs w:val="21"/>
              </w:rPr>
              <w:t>方</w:t>
            </w:r>
          </w:p>
          <w:p>
            <w:pPr>
              <w:jc w:val="center"/>
              <w:rPr>
                <w:rFonts w:hint="eastAsia" w:ascii="楷体_GB2312" w:hAnsi="宋体" w:eastAsia="楷体_GB2312"/>
                <w:szCs w:val="21"/>
              </w:rPr>
            </w:pPr>
            <w:r>
              <w:rPr>
                <w:rFonts w:hint="eastAsia" w:ascii="楷体_GB2312" w:hAnsi="宋体" w:eastAsia="楷体_GB2312"/>
                <w:szCs w:val="21"/>
              </w:rPr>
              <w:t>式</w:t>
            </w:r>
          </w:p>
        </w:tc>
        <w:tc>
          <w:tcPr>
            <w:tcW w:w="48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分</w:t>
            </w:r>
          </w:p>
        </w:tc>
        <w:tc>
          <w:tcPr>
            <w:tcW w:w="1424"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3799" w:type="dxa"/>
            <w:gridSpan w:val="8"/>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w:t>
            </w:r>
          </w:p>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时</w:t>
            </w: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49"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第一学年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第二学年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第三学年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continue"/>
            <w:vAlign w:val="center"/>
          </w:tcPr>
          <w:p>
            <w:pP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w:t>
            </w:r>
          </w:p>
          <w:p>
            <w:pPr>
              <w:jc w:val="center"/>
              <w:rPr>
                <w:rFonts w:hint="eastAsia" w:ascii="楷体_GB2312" w:hAnsi="宋体" w:eastAsia="楷体_GB2312"/>
                <w:szCs w:val="21"/>
              </w:rPr>
            </w:pPr>
            <w:r>
              <w:rPr>
                <w:rFonts w:hint="eastAsia" w:ascii="楷体_GB2312" w:hAnsi="宋体" w:eastAsia="楷体_GB2312"/>
                <w:szCs w:val="21"/>
              </w:rPr>
              <w:t>(实践)</w:t>
            </w: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1</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2</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3</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4</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5</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6</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7</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rPr>
                <w:rFonts w:hint="eastAsia" w:ascii="楷体_GB2312" w:hAnsi="宋体" w:eastAsia="楷体_GB2312"/>
                <w:spacing w:val="-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3960" w:type="dxa"/>
            <w:gridSpan w:val="3"/>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eastAsia="楷体_GB2312"/>
                <w:szCs w:val="21"/>
              </w:rPr>
              <w:t>小  计</w:t>
            </w: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r>
    </w:tbl>
    <w:p>
      <w:pPr>
        <w:rPr>
          <w:rFonts w:hint="eastAsia" w:ascii="黑体" w:hAnsi="宋体" w:eastAsia="黑体"/>
          <w:szCs w:val="21"/>
        </w:rPr>
      </w:pPr>
      <w:r>
        <w:rPr>
          <w:rFonts w:hint="eastAsia" w:ascii="黑体" w:hAnsi="宋体" w:eastAsia="黑体"/>
          <w:szCs w:val="21"/>
        </w:rPr>
        <w:t>2．岗位能力模块</w:t>
      </w:r>
    </w:p>
    <w:p>
      <w:pPr>
        <w:rPr>
          <w:rFonts w:hint="eastAsia" w:ascii="黑体" w:hAnsi="宋体" w:eastAsia="黑体"/>
          <w:szCs w:val="21"/>
        </w:rPr>
      </w:pP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5"/>
        <w:gridCol w:w="2644"/>
        <w:gridCol w:w="401"/>
        <w:gridCol w:w="485"/>
        <w:gridCol w:w="476"/>
        <w:gridCol w:w="948"/>
        <w:gridCol w:w="474"/>
        <w:gridCol w:w="475"/>
        <w:gridCol w:w="475"/>
        <w:gridCol w:w="475"/>
        <w:gridCol w:w="475"/>
        <w:gridCol w:w="475"/>
        <w:gridCol w:w="475"/>
        <w:gridCol w:w="4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开 课</w:t>
            </w:r>
          </w:p>
          <w:p>
            <w:pPr>
              <w:jc w:val="center"/>
              <w:rPr>
                <w:rFonts w:hint="eastAsia" w:ascii="楷体_GB2312" w:hAnsi="宋体" w:eastAsia="楷体_GB2312"/>
                <w:szCs w:val="21"/>
              </w:rPr>
            </w:pPr>
            <w:r>
              <w:rPr>
                <w:rFonts w:hint="eastAsia" w:ascii="楷体_GB2312" w:hAnsi="宋体" w:eastAsia="楷体_GB2312"/>
                <w:szCs w:val="21"/>
              </w:rPr>
              <w:t>单 位</w:t>
            </w:r>
          </w:p>
        </w:tc>
        <w:tc>
          <w:tcPr>
            <w:tcW w:w="264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名 称</w:t>
            </w:r>
          </w:p>
        </w:tc>
        <w:tc>
          <w:tcPr>
            <w:tcW w:w="401"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考</w:t>
            </w:r>
          </w:p>
          <w:p>
            <w:pPr>
              <w:jc w:val="center"/>
              <w:rPr>
                <w:rFonts w:hint="eastAsia" w:ascii="楷体_GB2312" w:hAnsi="宋体" w:eastAsia="楷体_GB2312"/>
                <w:szCs w:val="21"/>
              </w:rPr>
            </w:pPr>
            <w:r>
              <w:rPr>
                <w:rFonts w:hint="eastAsia" w:ascii="楷体_GB2312" w:hAnsi="宋体" w:eastAsia="楷体_GB2312"/>
                <w:szCs w:val="21"/>
              </w:rPr>
              <w:t>核</w:t>
            </w:r>
          </w:p>
          <w:p>
            <w:pPr>
              <w:jc w:val="center"/>
              <w:rPr>
                <w:rFonts w:hint="eastAsia" w:ascii="楷体_GB2312" w:hAnsi="宋体" w:eastAsia="楷体_GB2312"/>
                <w:szCs w:val="21"/>
              </w:rPr>
            </w:pPr>
            <w:r>
              <w:rPr>
                <w:rFonts w:hint="eastAsia" w:ascii="楷体_GB2312" w:hAnsi="宋体" w:eastAsia="楷体_GB2312"/>
                <w:szCs w:val="21"/>
              </w:rPr>
              <w:t>方</w:t>
            </w:r>
          </w:p>
          <w:p>
            <w:pPr>
              <w:jc w:val="center"/>
              <w:rPr>
                <w:rFonts w:hint="eastAsia" w:ascii="楷体_GB2312" w:hAnsi="宋体" w:eastAsia="楷体_GB2312"/>
                <w:szCs w:val="21"/>
              </w:rPr>
            </w:pPr>
            <w:r>
              <w:rPr>
                <w:rFonts w:hint="eastAsia" w:ascii="楷体_GB2312" w:hAnsi="宋体" w:eastAsia="楷体_GB2312"/>
                <w:szCs w:val="21"/>
              </w:rPr>
              <w:t>式</w:t>
            </w:r>
          </w:p>
        </w:tc>
        <w:tc>
          <w:tcPr>
            <w:tcW w:w="48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分</w:t>
            </w:r>
          </w:p>
        </w:tc>
        <w:tc>
          <w:tcPr>
            <w:tcW w:w="1424"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3799" w:type="dxa"/>
            <w:gridSpan w:val="8"/>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w:t>
            </w:r>
          </w:p>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时</w:t>
            </w: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49"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第一学年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第二学年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第三学年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continue"/>
            <w:vAlign w:val="center"/>
          </w:tcPr>
          <w:p>
            <w:pP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w:t>
            </w:r>
          </w:p>
          <w:p>
            <w:pPr>
              <w:jc w:val="center"/>
              <w:rPr>
                <w:rFonts w:hint="eastAsia" w:ascii="楷体_GB2312" w:hAnsi="宋体" w:eastAsia="楷体_GB2312"/>
                <w:szCs w:val="21"/>
              </w:rPr>
            </w:pPr>
            <w:r>
              <w:rPr>
                <w:rFonts w:hint="eastAsia" w:ascii="楷体_GB2312" w:hAnsi="宋体" w:eastAsia="楷体_GB2312"/>
                <w:szCs w:val="21"/>
              </w:rPr>
              <w:t>(实践)</w:t>
            </w: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1</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2</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3</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4</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5</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6</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7</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rPr>
                <w:rFonts w:hint="eastAsia" w:ascii="楷体_GB2312" w:hAnsi="宋体" w:eastAsia="楷体_GB2312"/>
                <w:spacing w:val="-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top"/>
          </w:tcPr>
          <w:p>
            <w:pPr>
              <w:jc w:val="center"/>
              <w:rPr>
                <w:rFonts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3960" w:type="dxa"/>
            <w:gridSpan w:val="3"/>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eastAsia="楷体_GB2312"/>
                <w:szCs w:val="21"/>
              </w:rPr>
              <w:t>小  计</w:t>
            </w: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r>
    </w:tbl>
    <w:p>
      <w:pPr>
        <w:rPr>
          <w:rFonts w:hint="eastAsia" w:ascii="黑体" w:hAnsi="宋体" w:eastAsia="黑体"/>
          <w:szCs w:val="21"/>
        </w:rPr>
      </w:pPr>
    </w:p>
    <w:p>
      <w:pPr>
        <w:rPr>
          <w:rFonts w:hint="eastAsia" w:ascii="黑体" w:hAnsi="宋体" w:eastAsia="黑体"/>
          <w:szCs w:val="21"/>
        </w:rPr>
      </w:pPr>
      <w:r>
        <w:rPr>
          <w:rFonts w:hint="eastAsia" w:ascii="黑体" w:hAnsi="宋体" w:eastAsia="黑体"/>
          <w:szCs w:val="21"/>
        </w:rPr>
        <w:t>3．践训能力模块</w:t>
      </w:r>
    </w:p>
    <w:p>
      <w:pPr>
        <w:rPr>
          <w:rFonts w:hint="eastAsia" w:ascii="黑体" w:hAnsi="宋体" w:eastAsia="黑体"/>
          <w:szCs w:val="21"/>
        </w:rPr>
      </w:pPr>
    </w:p>
    <w:tbl>
      <w:tblPr>
        <w:tblStyle w:val="11"/>
        <w:tblW w:w="9668" w:type="dxa"/>
        <w:tblInd w:w="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915"/>
        <w:gridCol w:w="2644"/>
        <w:gridCol w:w="401"/>
        <w:gridCol w:w="485"/>
        <w:gridCol w:w="476"/>
        <w:gridCol w:w="948"/>
        <w:gridCol w:w="474"/>
        <w:gridCol w:w="475"/>
        <w:gridCol w:w="475"/>
        <w:gridCol w:w="475"/>
        <w:gridCol w:w="475"/>
        <w:gridCol w:w="475"/>
        <w:gridCol w:w="475"/>
        <w:gridCol w:w="475"/>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开 课</w:t>
            </w:r>
          </w:p>
          <w:p>
            <w:pPr>
              <w:jc w:val="center"/>
              <w:rPr>
                <w:rFonts w:hint="eastAsia" w:ascii="楷体_GB2312" w:hAnsi="宋体" w:eastAsia="楷体_GB2312"/>
                <w:szCs w:val="21"/>
              </w:rPr>
            </w:pPr>
            <w:r>
              <w:rPr>
                <w:rFonts w:hint="eastAsia" w:ascii="楷体_GB2312" w:hAnsi="宋体" w:eastAsia="楷体_GB2312"/>
                <w:szCs w:val="21"/>
              </w:rPr>
              <w:t>单 位</w:t>
            </w:r>
          </w:p>
        </w:tc>
        <w:tc>
          <w:tcPr>
            <w:tcW w:w="2644"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课 程 名 称</w:t>
            </w:r>
          </w:p>
        </w:tc>
        <w:tc>
          <w:tcPr>
            <w:tcW w:w="401"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考</w:t>
            </w:r>
          </w:p>
          <w:p>
            <w:pPr>
              <w:jc w:val="center"/>
              <w:rPr>
                <w:rFonts w:hint="eastAsia" w:ascii="楷体_GB2312" w:hAnsi="宋体" w:eastAsia="楷体_GB2312"/>
                <w:szCs w:val="21"/>
              </w:rPr>
            </w:pPr>
            <w:r>
              <w:rPr>
                <w:rFonts w:hint="eastAsia" w:ascii="楷体_GB2312" w:hAnsi="宋体" w:eastAsia="楷体_GB2312"/>
                <w:szCs w:val="21"/>
              </w:rPr>
              <w:t>核</w:t>
            </w:r>
          </w:p>
          <w:p>
            <w:pPr>
              <w:jc w:val="center"/>
              <w:rPr>
                <w:rFonts w:hint="eastAsia" w:ascii="楷体_GB2312" w:hAnsi="宋体" w:eastAsia="楷体_GB2312"/>
                <w:szCs w:val="21"/>
              </w:rPr>
            </w:pPr>
            <w:r>
              <w:rPr>
                <w:rFonts w:hint="eastAsia" w:ascii="楷体_GB2312" w:hAnsi="宋体" w:eastAsia="楷体_GB2312"/>
                <w:szCs w:val="21"/>
              </w:rPr>
              <w:t>方</w:t>
            </w:r>
          </w:p>
          <w:p>
            <w:pPr>
              <w:jc w:val="center"/>
              <w:rPr>
                <w:rFonts w:hint="eastAsia" w:ascii="楷体_GB2312" w:hAnsi="宋体" w:eastAsia="楷体_GB2312"/>
                <w:szCs w:val="21"/>
              </w:rPr>
            </w:pPr>
            <w:r>
              <w:rPr>
                <w:rFonts w:hint="eastAsia" w:ascii="楷体_GB2312" w:hAnsi="宋体" w:eastAsia="楷体_GB2312"/>
                <w:szCs w:val="21"/>
              </w:rPr>
              <w:t>式</w:t>
            </w:r>
          </w:p>
        </w:tc>
        <w:tc>
          <w:tcPr>
            <w:tcW w:w="485"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分</w:t>
            </w:r>
          </w:p>
        </w:tc>
        <w:tc>
          <w:tcPr>
            <w:tcW w:w="1424"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学时数</w:t>
            </w:r>
          </w:p>
        </w:tc>
        <w:tc>
          <w:tcPr>
            <w:tcW w:w="3799" w:type="dxa"/>
            <w:gridSpan w:val="8"/>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按学期分配周学时</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restart"/>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总</w:t>
            </w:r>
          </w:p>
          <w:p>
            <w:pPr>
              <w:jc w:val="center"/>
              <w:rPr>
                <w:rFonts w:hint="eastAsia" w:ascii="楷体_GB2312" w:hAnsi="宋体" w:eastAsia="楷体_GB2312"/>
                <w:szCs w:val="21"/>
              </w:rPr>
            </w:pPr>
            <w:r>
              <w:rPr>
                <w:rFonts w:hint="eastAsia" w:ascii="楷体_GB2312" w:hAnsi="宋体" w:eastAsia="楷体_GB2312"/>
                <w:szCs w:val="21"/>
              </w:rPr>
              <w:t>学</w:t>
            </w:r>
          </w:p>
          <w:p>
            <w:pPr>
              <w:jc w:val="center"/>
              <w:rPr>
                <w:rFonts w:hint="eastAsia" w:ascii="楷体_GB2312" w:hAnsi="宋体" w:eastAsia="楷体_GB2312"/>
                <w:szCs w:val="21"/>
              </w:rPr>
            </w:pPr>
            <w:r>
              <w:rPr>
                <w:rFonts w:hint="eastAsia" w:ascii="楷体_GB2312" w:hAnsi="宋体" w:eastAsia="楷体_GB2312"/>
                <w:szCs w:val="21"/>
              </w:rPr>
              <w:t>时</w:t>
            </w: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其中</w:t>
            </w:r>
          </w:p>
        </w:tc>
        <w:tc>
          <w:tcPr>
            <w:tcW w:w="949"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第一学年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第二学年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第三学年</w:t>
            </w:r>
          </w:p>
        </w:tc>
        <w:tc>
          <w:tcPr>
            <w:tcW w:w="950" w:type="dxa"/>
            <w:gridSpan w:val="2"/>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第四学年</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vMerge w:val="continue"/>
            <w:vAlign w:val="center"/>
          </w:tcPr>
          <w:p>
            <w:pPr>
              <w:rPr>
                <w:rFonts w:hint="eastAsia" w:ascii="楷体_GB2312" w:hAnsi="宋体" w:eastAsia="楷体_GB2312"/>
                <w:szCs w:val="21"/>
              </w:rPr>
            </w:pPr>
          </w:p>
        </w:tc>
        <w:tc>
          <w:tcPr>
            <w:tcW w:w="2644" w:type="dxa"/>
            <w:vMerge w:val="continue"/>
            <w:vAlign w:val="center"/>
          </w:tcPr>
          <w:p>
            <w:pPr>
              <w:rPr>
                <w:rFonts w:hint="eastAsia" w:ascii="楷体_GB2312" w:hAnsi="宋体" w:eastAsia="楷体_GB2312"/>
                <w:szCs w:val="21"/>
              </w:rPr>
            </w:pPr>
          </w:p>
        </w:tc>
        <w:tc>
          <w:tcPr>
            <w:tcW w:w="401" w:type="dxa"/>
            <w:vMerge w:val="continue"/>
            <w:vAlign w:val="center"/>
          </w:tcPr>
          <w:p>
            <w:pPr>
              <w:rPr>
                <w:rFonts w:hint="eastAsia" w:ascii="楷体_GB2312" w:hAnsi="宋体" w:eastAsia="楷体_GB2312"/>
                <w:szCs w:val="21"/>
              </w:rPr>
            </w:pPr>
          </w:p>
        </w:tc>
        <w:tc>
          <w:tcPr>
            <w:tcW w:w="485" w:type="dxa"/>
            <w:vMerge w:val="continue"/>
            <w:vAlign w:val="center"/>
          </w:tcPr>
          <w:p>
            <w:pPr>
              <w:rPr>
                <w:rFonts w:hint="eastAsia" w:ascii="楷体_GB2312" w:hAnsi="宋体" w:eastAsia="楷体_GB2312"/>
                <w:szCs w:val="21"/>
              </w:rPr>
            </w:pPr>
          </w:p>
        </w:tc>
        <w:tc>
          <w:tcPr>
            <w:tcW w:w="476" w:type="dxa"/>
            <w:vMerge w:val="continue"/>
            <w:vAlign w:val="center"/>
          </w:tcPr>
          <w:p>
            <w:pP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实验</w:t>
            </w:r>
          </w:p>
          <w:p>
            <w:pPr>
              <w:jc w:val="center"/>
              <w:rPr>
                <w:rFonts w:hint="eastAsia" w:ascii="楷体_GB2312" w:hAnsi="宋体" w:eastAsia="楷体_GB2312"/>
                <w:szCs w:val="21"/>
              </w:rPr>
            </w:pPr>
            <w:r>
              <w:rPr>
                <w:rFonts w:hint="eastAsia" w:ascii="楷体_GB2312" w:hAnsi="宋体" w:eastAsia="楷体_GB2312"/>
                <w:szCs w:val="21"/>
              </w:rPr>
              <w:t>(实践)</w:t>
            </w: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1</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2</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3</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4</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5</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6</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7</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8</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spacing w:line="360" w:lineRule="exact"/>
              <w:rPr>
                <w:rFonts w:hint="eastAsia" w:ascii="楷体_GB2312" w:hAnsi="宋体" w:eastAsia="楷体_GB2312"/>
                <w:spacing w:val="-2"/>
                <w:szCs w:val="21"/>
              </w:rPr>
            </w:pPr>
          </w:p>
        </w:tc>
        <w:tc>
          <w:tcPr>
            <w:tcW w:w="401" w:type="dxa"/>
            <w:tcMar>
              <w:top w:w="15" w:type="dxa"/>
              <w:left w:w="15" w:type="dxa"/>
              <w:bottom w:w="0" w:type="dxa"/>
              <w:right w:w="15" w:type="dxa"/>
            </w:tcMar>
            <w:vAlign w:val="center"/>
          </w:tcPr>
          <w:p>
            <w:pPr>
              <w:spacing w:line="360" w:lineRule="exact"/>
              <w:ind w:left="-65" w:leftChars="-31"/>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spacing w:line="360" w:lineRule="exact"/>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bookmarkStart w:id="3" w:name="_GoBack"/>
            <w:bookmarkEnd w:id="3"/>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91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2644" w:type="dxa"/>
            <w:tcMar>
              <w:top w:w="15" w:type="dxa"/>
              <w:left w:w="15" w:type="dxa"/>
              <w:bottom w:w="0" w:type="dxa"/>
              <w:right w:w="15" w:type="dxa"/>
            </w:tcMar>
            <w:vAlign w:val="center"/>
          </w:tcPr>
          <w:p>
            <w:pPr>
              <w:ind w:firstLine="42" w:firstLineChars="20"/>
              <w:rPr>
                <w:rFonts w:hint="eastAsia" w:ascii="楷体_GB2312" w:hAnsi="宋体" w:eastAsia="楷体_GB2312"/>
                <w:szCs w:val="21"/>
              </w:rPr>
            </w:pPr>
          </w:p>
        </w:tc>
        <w:tc>
          <w:tcPr>
            <w:tcW w:w="401"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28" w:type="dxa"/>
            <w:bottom w:w="0" w:type="dxa"/>
            <w:right w:w="28" w:type="dxa"/>
          </w:tblCellMar>
        </w:tblPrEx>
        <w:trPr>
          <w:trHeight w:val="425" w:hRule="atLeast"/>
        </w:trPr>
        <w:tc>
          <w:tcPr>
            <w:tcW w:w="3960" w:type="dxa"/>
            <w:gridSpan w:val="3"/>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eastAsia="楷体_GB2312"/>
                <w:szCs w:val="21"/>
              </w:rPr>
              <w:t>小  计</w:t>
            </w:r>
          </w:p>
        </w:tc>
        <w:tc>
          <w:tcPr>
            <w:tcW w:w="48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6"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948"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4"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c>
          <w:tcPr>
            <w:tcW w:w="475" w:type="dxa"/>
            <w:tcMar>
              <w:top w:w="15" w:type="dxa"/>
              <w:left w:w="15" w:type="dxa"/>
              <w:bottom w:w="0" w:type="dxa"/>
              <w:right w:w="15" w:type="dxa"/>
            </w:tcMar>
            <w:vAlign w:val="center"/>
          </w:tcPr>
          <w:p>
            <w:pPr>
              <w:jc w:val="center"/>
              <w:rPr>
                <w:rFonts w:hint="eastAsia" w:ascii="楷体_GB2312" w:hAnsi="宋体" w:eastAsia="楷体_GB2312"/>
                <w:szCs w:val="21"/>
              </w:rPr>
            </w:pPr>
            <w:r>
              <w:rPr>
                <w:rFonts w:hint="eastAsia" w:ascii="楷体_GB2312" w:hAnsi="宋体" w:eastAsia="楷体_GB2312"/>
                <w:szCs w:val="21"/>
              </w:rPr>
              <w:t>　</w:t>
            </w:r>
          </w:p>
        </w:tc>
      </w:tr>
    </w:tbl>
    <w:p>
      <w:pPr>
        <w:rPr>
          <w:rFonts w:hint="eastAsia"/>
        </w:rPr>
      </w:pPr>
    </w:p>
    <w:p>
      <w:pPr>
        <w:rPr>
          <w:rFonts w:hint="eastAsia"/>
        </w:rPr>
      </w:pPr>
    </w:p>
    <w:p>
      <w:pPr>
        <w:rPr>
          <w:rFonts w:hint="eastAsia"/>
          <w:color w:val="FF0000"/>
          <w:sz w:val="28"/>
          <w:szCs w:val="28"/>
        </w:rPr>
      </w:pPr>
      <w:r>
        <w:rPr>
          <w:rFonts w:hint="eastAsia"/>
          <w:color w:val="FF0000"/>
          <w:sz w:val="28"/>
          <w:szCs w:val="28"/>
        </w:rPr>
        <w:t>备注：</w:t>
      </w:r>
    </w:p>
    <w:p>
      <w:pPr>
        <w:rPr>
          <w:rFonts w:hint="eastAsia"/>
          <w:color w:val="FF0000"/>
          <w:sz w:val="28"/>
          <w:szCs w:val="28"/>
        </w:rPr>
      </w:pPr>
      <w:r>
        <w:rPr>
          <w:rFonts w:hint="eastAsia"/>
          <w:color w:val="FF0000"/>
          <w:sz w:val="28"/>
          <w:szCs w:val="28"/>
        </w:rPr>
        <w:t>页边距统一为：  左右：2.0  上下；2.5</w:t>
      </w:r>
    </w:p>
    <w:p>
      <w:pPr>
        <w:rPr>
          <w:rFonts w:hint="eastAsia"/>
          <w:color w:val="FF0000"/>
          <w:sz w:val="28"/>
          <w:szCs w:val="28"/>
        </w:rPr>
      </w:pPr>
      <w:r>
        <w:rPr>
          <w:rFonts w:hint="eastAsia"/>
          <w:color w:val="FF0000"/>
          <w:sz w:val="28"/>
          <w:szCs w:val="28"/>
        </w:rPr>
        <w:t>字体：楷体GB2312，五号（标题部分参照范本）</w:t>
      </w:r>
    </w:p>
    <w:p>
      <w:pPr>
        <w:rPr>
          <w:rFonts w:hint="eastAsia"/>
          <w:color w:val="FF0000"/>
          <w:sz w:val="28"/>
          <w:szCs w:val="28"/>
        </w:rPr>
      </w:pPr>
      <w:r>
        <w:rPr>
          <w:rFonts w:hint="eastAsia"/>
          <w:color w:val="FF0000"/>
          <w:sz w:val="28"/>
          <w:szCs w:val="28"/>
        </w:rPr>
        <w:t>表格中的“课程名称”左对齐，其余居中。</w:t>
      </w:r>
    </w:p>
    <w:p>
      <w:pPr>
        <w:rPr>
          <w:rFonts w:hint="eastAsia" w:ascii="楷体_GB2312" w:eastAsia="楷体_GB2312"/>
          <w:b/>
          <w:sz w:val="30"/>
          <w:lang w:val="en-US" w:eastAsia="zh-CN"/>
        </w:rPr>
      </w:pPr>
    </w:p>
    <w:sectPr>
      <w:footerReference r:id="rId3" w:type="default"/>
      <w:pgSz w:w="11906" w:h="16838"/>
      <w:pgMar w:top="1417" w:right="1134" w:bottom="1417" w:left="1134" w:header="851" w:footer="992" w:gutter="0"/>
      <w:paperSrc/>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Palatino Linotype">
    <w:panose1 w:val="02040502050505030304"/>
    <w:charset w:val="00"/>
    <w:family w:val="auto"/>
    <w:pitch w:val="default"/>
    <w:sig w:usb0="E0000387" w:usb1="40000013" w:usb2="00000000" w:usb3="00000000" w:csb0="2000019F" w:csb1="00000000"/>
  </w:font>
  <w:font w:name="微软雅黑">
    <w:panose1 w:val="020B0503020204020204"/>
    <w:charset w:val="86"/>
    <w:family w:val="auto"/>
    <w:pitch w:val="default"/>
    <w:sig w:usb0="80000287" w:usb1="2A0F3C52"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default"/>
    <w:sig w:usb0="00007A87" w:usb1="80000000" w:usb2="00000008" w:usb3="00000000" w:csb0="400001FF" w:csb1="FFFF0000"/>
  </w:font>
  <w:font w:name="仿宋_GB2312">
    <w:panose1 w:val="02010609030101010101"/>
    <w:charset w:val="86"/>
    <w:family w:val="modern"/>
    <w:pitch w:val="default"/>
    <w:sig w:usb0="00000001" w:usb1="080E0000" w:usb2="00000000" w:usb3="00000000" w:csb0="00040000" w:csb1="00000000"/>
  </w:font>
  <w:font w:name="Calibri Light">
    <w:altName w:val="PMingLiU"/>
    <w:panose1 w:val="020F0302020204030204"/>
    <w:charset w:val="00"/>
    <w:family w:val="swiss"/>
    <w:pitch w:val="default"/>
    <w:sig w:usb0="00000000" w:usb1="00000000" w:usb2="00000000" w:usb3="00000000" w:csb0="0000019F" w:csb1="00000000"/>
  </w:font>
  <w:font w:name="PMingLiU">
    <w:panose1 w:val="02020300000000000000"/>
    <w:charset w:val="88"/>
    <w:family w:val="auto"/>
    <w:pitch w:val="default"/>
    <w:sig w:usb0="00000003" w:usb1="082E0000" w:usb2="00000016" w:usb3="00000000" w:csb0="00100001" w:csb1="00000000"/>
  </w:font>
  <w:font w:name="方正小标宋_GBK">
    <w:altName w:val="微软雅黑"/>
    <w:panose1 w:val="03000509000000000000"/>
    <w:charset w:val="86"/>
    <w:family w:val="script"/>
    <w:pitch w:val="default"/>
    <w:sig w:usb0="00000000" w:usb1="00000000" w:usb2="00000010" w:usb3="00000000" w:csb0="00040000" w:csb1="00000000"/>
  </w:font>
  <w:font w:name="仿宋">
    <w:altName w:val="微软雅黑"/>
    <w:panose1 w:val="00000000000000000000"/>
    <w:charset w:val="00"/>
    <w:family w:val="auto"/>
    <w:pitch w:val="default"/>
    <w:sig w:usb0="00000000" w:usb1="00000000" w:usb2="00000000" w:usb3="00000000" w:csb0="00000000" w:csb1="00000000"/>
  </w:font>
  <w:font w:name="仿宋">
    <w:altName w:val="微软雅黑"/>
    <w:panose1 w:val="02010609060101010101"/>
    <w:charset w:val="86"/>
    <w:family w:val="modern"/>
    <w:pitch w:val="default"/>
    <w:sig w:usb0="00000000" w:usb1="00000000" w:usb2="00000016" w:usb3="00000000" w:csb0="00040001" w:csb1="00000000"/>
  </w:font>
  <w:font w:name="楷体">
    <w:altName w:val="楷体_GB2312"/>
    <w:panose1 w:val="02010609060101010101"/>
    <w:charset w:val="86"/>
    <w:family w:val="modern"/>
    <w:pitch w:val="default"/>
    <w:sig w:usb0="00000000" w:usb1="00000000" w:usb2="00000016" w:usb3="00000000" w:csb0="00040001" w:csb1="00000000"/>
  </w:font>
  <w:font w:name="Tahoma">
    <w:panose1 w:val="020B0604030504040204"/>
    <w:charset w:val="00"/>
    <w:family w:val="swiss"/>
    <w:pitch w:val="default"/>
    <w:sig w:usb0="61007A87" w:usb1="80000000" w:usb2="00000008"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4097" o:spid="_x0000_s4097"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rPr>
                    <w:sz w:val="18"/>
                  </w:rPr>
                  <w:t>1</w:t>
                </w:r>
                <w:r>
                  <w:rPr>
                    <w:rFonts w:hint="eastAsia"/>
                    <w:sz w:val="18"/>
                    <w:lang w:eastAsia="zh-CN"/>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C502F1"/>
    <w:multiLevelType w:val="singleLevel"/>
    <w:tmpl w:val="58C502F1"/>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597C3DD9"/>
    <w:rsid w:val="003727CA"/>
    <w:rsid w:val="003A0D5E"/>
    <w:rsid w:val="005117D1"/>
    <w:rsid w:val="00512B2A"/>
    <w:rsid w:val="0071744F"/>
    <w:rsid w:val="00C51FC2"/>
    <w:rsid w:val="00CB5800"/>
    <w:rsid w:val="01AC40F3"/>
    <w:rsid w:val="02BB783B"/>
    <w:rsid w:val="04565457"/>
    <w:rsid w:val="054F4065"/>
    <w:rsid w:val="06F651F4"/>
    <w:rsid w:val="075675CA"/>
    <w:rsid w:val="07FE1692"/>
    <w:rsid w:val="0807426B"/>
    <w:rsid w:val="0822286B"/>
    <w:rsid w:val="09244678"/>
    <w:rsid w:val="097F1187"/>
    <w:rsid w:val="0BB124BA"/>
    <w:rsid w:val="0CE22AE6"/>
    <w:rsid w:val="0CFE1743"/>
    <w:rsid w:val="0D724269"/>
    <w:rsid w:val="0E3C26A1"/>
    <w:rsid w:val="0E8C226B"/>
    <w:rsid w:val="0EC619C9"/>
    <w:rsid w:val="0F411A79"/>
    <w:rsid w:val="0F781E7B"/>
    <w:rsid w:val="0F7A1202"/>
    <w:rsid w:val="10617418"/>
    <w:rsid w:val="10715E38"/>
    <w:rsid w:val="10D65745"/>
    <w:rsid w:val="12720E5F"/>
    <w:rsid w:val="131B31E3"/>
    <w:rsid w:val="13C63439"/>
    <w:rsid w:val="14176B8D"/>
    <w:rsid w:val="15FB7252"/>
    <w:rsid w:val="17175468"/>
    <w:rsid w:val="180F7E4E"/>
    <w:rsid w:val="187C52F6"/>
    <w:rsid w:val="18BF3EA1"/>
    <w:rsid w:val="1AD94F8D"/>
    <w:rsid w:val="1B4B5D8C"/>
    <w:rsid w:val="1BA02EE7"/>
    <w:rsid w:val="1D6F1424"/>
    <w:rsid w:val="1D747A19"/>
    <w:rsid w:val="1DA46F4D"/>
    <w:rsid w:val="209672B6"/>
    <w:rsid w:val="22FC209D"/>
    <w:rsid w:val="24171A5A"/>
    <w:rsid w:val="2496744A"/>
    <w:rsid w:val="24A70C1E"/>
    <w:rsid w:val="259B2C03"/>
    <w:rsid w:val="25F566FB"/>
    <w:rsid w:val="26BA6668"/>
    <w:rsid w:val="26EC15B0"/>
    <w:rsid w:val="279014A2"/>
    <w:rsid w:val="29BF67F5"/>
    <w:rsid w:val="2BEC341B"/>
    <w:rsid w:val="2BF50381"/>
    <w:rsid w:val="2E1C2C33"/>
    <w:rsid w:val="2F404449"/>
    <w:rsid w:val="2FEE1365"/>
    <w:rsid w:val="30862CB3"/>
    <w:rsid w:val="310946DC"/>
    <w:rsid w:val="32C5571B"/>
    <w:rsid w:val="33BB719F"/>
    <w:rsid w:val="33C61025"/>
    <w:rsid w:val="33DC6EA4"/>
    <w:rsid w:val="34657516"/>
    <w:rsid w:val="375F27A2"/>
    <w:rsid w:val="37BB7354"/>
    <w:rsid w:val="3C0B3AD9"/>
    <w:rsid w:val="3CB566F8"/>
    <w:rsid w:val="3D2D6E5D"/>
    <w:rsid w:val="3FB13468"/>
    <w:rsid w:val="40CD59D3"/>
    <w:rsid w:val="41422ADE"/>
    <w:rsid w:val="42781C7A"/>
    <w:rsid w:val="47DB4DCD"/>
    <w:rsid w:val="47ED4384"/>
    <w:rsid w:val="49E345ED"/>
    <w:rsid w:val="4ACB0E68"/>
    <w:rsid w:val="4B6E2620"/>
    <w:rsid w:val="4C106B5E"/>
    <w:rsid w:val="4D003329"/>
    <w:rsid w:val="4D286254"/>
    <w:rsid w:val="4D47618E"/>
    <w:rsid w:val="4D9E2411"/>
    <w:rsid w:val="4EDE4CA7"/>
    <w:rsid w:val="4F063954"/>
    <w:rsid w:val="510E4BF3"/>
    <w:rsid w:val="51721F63"/>
    <w:rsid w:val="52AA41FB"/>
    <w:rsid w:val="54CA6FA6"/>
    <w:rsid w:val="54DF57B5"/>
    <w:rsid w:val="55D70BBE"/>
    <w:rsid w:val="564F6998"/>
    <w:rsid w:val="56C06E2C"/>
    <w:rsid w:val="57E9661C"/>
    <w:rsid w:val="597C3DD9"/>
    <w:rsid w:val="5A705C98"/>
    <w:rsid w:val="5C723C0F"/>
    <w:rsid w:val="5E8B0F30"/>
    <w:rsid w:val="5E992659"/>
    <w:rsid w:val="61741898"/>
    <w:rsid w:val="621858E4"/>
    <w:rsid w:val="626619D0"/>
    <w:rsid w:val="63E67F52"/>
    <w:rsid w:val="646A465B"/>
    <w:rsid w:val="6477117F"/>
    <w:rsid w:val="651B4114"/>
    <w:rsid w:val="66A5206D"/>
    <w:rsid w:val="675A2959"/>
    <w:rsid w:val="68D33AFA"/>
    <w:rsid w:val="69AF29A6"/>
    <w:rsid w:val="6A00037F"/>
    <w:rsid w:val="6B4642A2"/>
    <w:rsid w:val="6B862EFB"/>
    <w:rsid w:val="6C4F0792"/>
    <w:rsid w:val="6C571970"/>
    <w:rsid w:val="6E6B4AB1"/>
    <w:rsid w:val="6EF266B1"/>
    <w:rsid w:val="6F321791"/>
    <w:rsid w:val="70D27A56"/>
    <w:rsid w:val="71691432"/>
    <w:rsid w:val="7269799B"/>
    <w:rsid w:val="742340E9"/>
    <w:rsid w:val="7736148F"/>
    <w:rsid w:val="77DD3AE7"/>
    <w:rsid w:val="78E71FBE"/>
    <w:rsid w:val="794F2D2F"/>
    <w:rsid w:val="7A2F540B"/>
    <w:rsid w:val="7A667883"/>
    <w:rsid w:val="7B4C2AD4"/>
    <w:rsid w:val="7B9C1A4A"/>
    <w:rsid w:val="7BCA6E01"/>
    <w:rsid w:val="7BDA2A7F"/>
    <w:rsid w:val="7C24617D"/>
    <w:rsid w:val="7C5048CB"/>
    <w:rsid w:val="7D9B25FD"/>
    <w:rsid w:val="7D9C660E"/>
    <w:rsid w:val="7ECD658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pageBreakBefore/>
      <w:spacing w:before="340" w:after="330"/>
      <w:ind w:left="210" w:leftChars="100" w:right="210" w:rightChars="100"/>
      <w:jc w:val="center"/>
      <w:outlineLvl w:val="0"/>
    </w:pPr>
    <w:rPr>
      <w:b/>
      <w:bCs/>
      <w:sz w:val="36"/>
    </w:rPr>
  </w:style>
  <w:style w:type="character" w:default="1" w:styleId="7">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0"/>
    <w:pPr>
      <w:spacing w:line="264" w:lineRule="auto"/>
      <w:ind w:firstLine="420" w:firstLineChars="200"/>
    </w:pPr>
    <w:rPr>
      <w:rFonts w:ascii="楷体_GB2312" w:eastAsia="楷体_GB2312"/>
    </w:rPr>
  </w:style>
  <w:style w:type="paragraph" w:styleId="6">
    <w:name w:val="Normal (Web)"/>
    <w:basedOn w:val="1"/>
    <w:qFormat/>
    <w:uiPriority w:val="0"/>
    <w:pPr>
      <w:spacing w:beforeAutospacing="1" w:afterAutospacing="1"/>
      <w:jc w:val="left"/>
    </w:pPr>
    <w:rPr>
      <w:kern w:val="0"/>
      <w:sz w:val="24"/>
    </w:rPr>
  </w:style>
  <w:style w:type="character" w:styleId="8">
    <w:name w:val="Strong"/>
    <w:basedOn w:val="7"/>
    <w:qFormat/>
    <w:uiPriority w:val="22"/>
    <w:rPr>
      <w:b/>
    </w:rPr>
  </w:style>
  <w:style w:type="character" w:styleId="9">
    <w:name w:val="page number"/>
    <w:basedOn w:val="7"/>
    <w:qFormat/>
    <w:uiPriority w:val="0"/>
  </w:style>
  <w:style w:type="character" w:styleId="10">
    <w:name w:val="Hyperlink"/>
    <w:basedOn w:val="7"/>
    <w:qFormat/>
    <w:uiPriority w:val="0"/>
    <w:rPr>
      <w:color w:val="333333"/>
      <w:u w:val="none"/>
    </w:rPr>
  </w:style>
  <w:style w:type="character" w:customStyle="1" w:styleId="12">
    <w:name w:val="页眉 Char"/>
    <w:basedOn w:val="7"/>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9</Pages>
  <Words>739</Words>
  <Characters>4217</Characters>
  <Lines>35</Lines>
  <Paragraphs>9</Paragraphs>
  <ScaleCrop>false</ScaleCrop>
  <LinksUpToDate>false</LinksUpToDate>
  <CharactersWithSpaces>4947</CharactersWithSpaces>
  <Application>WPS Office_10.1.0.6206_F1E327BC-269C-435d-A152-05C5408002CA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2017-03-12T03:54:00Z</dcterms:created>
  <dc:creator>Administrator</dc:creator>
  <cp:lastModifiedBy>Administrator</cp:lastModifiedBy>
  <cp:lastPrinted>2017-03-17T01:22:00Z</cp:lastPrinted>
  <dcterms:modified xsi:type="dcterms:W3CDTF">2017-04-23T14:15:35Z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2052-10.1.0.6206</vt:lpwstr>
  </property>
</Properties>
</file>